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116AD" w14:textId="77777777" w:rsidR="00D90956" w:rsidRDefault="00D90956">
      <w:pPr>
        <w:widowControl w:val="0"/>
        <w:pBdr>
          <w:top w:val="nil"/>
          <w:left w:val="nil"/>
          <w:bottom w:val="nil"/>
          <w:right w:val="nil"/>
          <w:between w:val="nil"/>
        </w:pBdr>
        <w:spacing w:after="0"/>
      </w:pPr>
    </w:p>
    <w:p w14:paraId="512FAECF" w14:textId="77777777" w:rsidR="00D90956" w:rsidRDefault="00185F51">
      <w:pPr>
        <w:rPr>
          <w:rFonts w:ascii="Arial" w:eastAsia="Arial" w:hAnsi="Arial" w:cs="Arial"/>
          <w:b/>
          <w:sz w:val="36"/>
          <w:szCs w:val="36"/>
        </w:rPr>
      </w:pPr>
      <w:bookmarkStart w:id="0" w:name="_heading=h.17dp8vu" w:colFirst="0" w:colLast="0"/>
      <w:bookmarkEnd w:id="0"/>
      <w:r>
        <w:rPr>
          <w:rFonts w:ascii="Arial" w:eastAsia="Arial" w:hAnsi="Arial" w:cs="Arial"/>
          <w:b/>
          <w:sz w:val="36"/>
          <w:szCs w:val="36"/>
        </w:rPr>
        <w:t>Joint Schedule 1 (Definitions)</w:t>
      </w:r>
    </w:p>
    <w:p w14:paraId="2D520B60" w14:textId="77777777" w:rsidR="00D90956" w:rsidRDefault="00185F51">
      <w:pPr>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coin which that capitalised expression appears.</w:t>
      </w:r>
    </w:p>
    <w:p w14:paraId="3F8B22FD"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w:t>
      </w:r>
      <w:r>
        <w:rPr>
          <w:rFonts w:ascii="Arial" w:eastAsia="Arial" w:hAnsi="Arial" w:cs="Arial"/>
          <w:color w:val="000000"/>
          <w:sz w:val="24"/>
          <w:szCs w:val="24"/>
        </w:rPr>
        <w:t xml:space="preserve">ot have an interpretation in this Schedule or any other Schedule, it shall, in the first instance, be interpreted in accordance with the common interpretation within the relevant market sector/industry where appropriate. Otherwise, it shall be interpreted </w:t>
      </w:r>
      <w:r>
        <w:rPr>
          <w:rFonts w:ascii="Arial" w:eastAsia="Arial" w:hAnsi="Arial" w:cs="Arial"/>
          <w:color w:val="000000"/>
          <w:sz w:val="24"/>
          <w:szCs w:val="24"/>
        </w:rPr>
        <w:t>in accordance with the dictionary meaning.</w:t>
      </w:r>
    </w:p>
    <w:p w14:paraId="57CA17D4"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F010AA3"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6601FB42"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7511107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2AB2220A"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w:t>
      </w:r>
      <w:r>
        <w:rPr>
          <w:rFonts w:ascii="Arial" w:eastAsia="Arial" w:hAnsi="Arial" w:cs="Arial"/>
          <w:color w:val="000000"/>
          <w:sz w:val="24"/>
          <w:szCs w:val="24"/>
        </w:rPr>
        <w:t>, consolidated or re-enacted from time to time;</w:t>
      </w:r>
    </w:p>
    <w:p w14:paraId="0ED0AE1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Pr>
          <w:rFonts w:ascii="Arial" w:eastAsia="Arial" w:hAnsi="Arial" w:cs="Arial"/>
          <w:color w:val="000000"/>
          <w:sz w:val="24"/>
          <w:szCs w:val="24"/>
        </w:rPr>
        <w:t>"</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6B303F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w:t>
      </w:r>
      <w:r>
        <w:rPr>
          <w:rFonts w:ascii="Arial" w:eastAsia="Arial" w:hAnsi="Arial" w:cs="Arial"/>
          <w:color w:val="000000"/>
          <w:sz w:val="24"/>
          <w:szCs w:val="24"/>
        </w:rPr>
        <w:t>o writing shall be construed accordingly;</w:t>
      </w:r>
    </w:p>
    <w:p w14:paraId="4CAB03C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7BBB67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w:t>
      </w:r>
      <w:r>
        <w:rPr>
          <w:rFonts w:ascii="Arial" w:eastAsia="Arial" w:hAnsi="Arial" w:cs="Arial"/>
          <w:color w:val="000000"/>
          <w:sz w:val="24"/>
          <w:szCs w:val="24"/>
        </w:rPr>
        <w:t xml:space="preserve">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w:t>
      </w:r>
      <w:r>
        <w:rPr>
          <w:rFonts w:ascii="Arial" w:eastAsia="Arial" w:hAnsi="Arial" w:cs="Arial"/>
          <w:color w:val="000000"/>
          <w:sz w:val="24"/>
          <w:szCs w:val="24"/>
        </w:rPr>
        <w:t xml:space="preserve">, paragraphs, annexes and tables of the Schedule in which these references appear; </w:t>
      </w:r>
    </w:p>
    <w:p w14:paraId="5752D0C9"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1F2090A7"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series of Cl</w:t>
      </w:r>
      <w:r>
        <w:rPr>
          <w:rFonts w:ascii="Arial" w:eastAsia="Arial" w:hAnsi="Arial" w:cs="Arial"/>
          <w:color w:val="000000"/>
          <w:sz w:val="24"/>
          <w:szCs w:val="24"/>
        </w:rPr>
        <w:t>auses or Paragraphs shall be inclusive of the clause numbers specified;</w:t>
      </w:r>
    </w:p>
    <w:p w14:paraId="3F5A242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29723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in entering into a Contract the Relevant Authority </w:t>
      </w:r>
      <w:r>
        <w:rPr>
          <w:rFonts w:ascii="Arial" w:eastAsia="Arial" w:hAnsi="Arial" w:cs="Arial"/>
          <w:color w:val="000000"/>
          <w:sz w:val="24"/>
          <w:szCs w:val="24"/>
        </w:rPr>
        <w:t>is acting as part of the Crown; and</w:t>
      </w:r>
    </w:p>
    <w:p w14:paraId="51105CFC" w14:textId="77777777" w:rsidR="00D90956" w:rsidRDefault="00D90956">
      <w:p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p>
    <w:p w14:paraId="7BCC0CA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5E0F7555"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w:t>
      </w:r>
      <w:r>
        <w:rPr>
          <w:rFonts w:ascii="Arial" w:eastAsia="Arial" w:hAnsi="Arial" w:cs="Arial"/>
          <w:color w:val="000000"/>
          <w:sz w:val="24"/>
          <w:szCs w:val="24"/>
        </w:rPr>
        <w:t xml:space="preserve"> a reference to the EU References as they form part of domestic law by virtue of section 3 of the European Union (Withdrawal) Act 2018 as modified by domestic law from time to time; and</w:t>
      </w:r>
    </w:p>
    <w:p w14:paraId="12151D1E"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F0AB634"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w:t>
      </w:r>
      <w:r>
        <w:rPr>
          <w:rFonts w:ascii="Arial" w:eastAsia="Arial" w:hAnsi="Arial" w:cs="Arial"/>
          <w:color w:val="000000"/>
          <w:sz w:val="24"/>
          <w:szCs w:val="24"/>
        </w:rPr>
        <w:t>trued as including Exempt Buyers; and</w:t>
      </w:r>
    </w:p>
    <w:p w14:paraId="68FCCC78"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53D00C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 xml:space="preserve">In each Contract, unless the context otherwise requires, the following words shall </w:t>
      </w:r>
      <w:r>
        <w:rPr>
          <w:rFonts w:ascii="Arial" w:eastAsia="Arial" w:hAnsi="Arial" w:cs="Arial"/>
          <w:color w:val="000000"/>
          <w:sz w:val="24"/>
          <w:szCs w:val="24"/>
        </w:rPr>
        <w:t>have the following meanings:</w:t>
      </w:r>
    </w:p>
    <w:p w14:paraId="5054467C" w14:textId="77777777" w:rsidR="00D90956" w:rsidRDefault="00D90956">
      <w:pPr>
        <w:keepNext/>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p>
    <w:tbl>
      <w:tblPr>
        <w:tblStyle w:val="a2"/>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D90956" w14:paraId="486589F6" w14:textId="77777777">
        <w:trPr>
          <w:trHeight w:val="1161"/>
        </w:trPr>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20DB9D"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“Accelerated Further Competition”</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395E456"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the accelerated award of a Contract, using the Further Competition process described in Framework Schedule 7 – Call Off Award Procedure.</w:t>
            </w:r>
          </w:p>
        </w:tc>
      </w:tr>
      <w:tr w:rsidR="00D90956" w14:paraId="707EB5E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6A9095"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539ABBF"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w:t>
            </w:r>
            <w:r>
              <w:rPr>
                <w:rFonts w:ascii="Arial" w:eastAsia="Arial" w:hAnsi="Arial" w:cs="Arial"/>
                <w:sz w:val="24"/>
                <w:szCs w:val="24"/>
              </w:rPr>
              <w:t>e Supplier, as per Call Off Schedule 27 Accessed Contracts and Construction Contracts</w:t>
            </w:r>
          </w:p>
        </w:tc>
      </w:tr>
      <w:tr w:rsidR="00D90956" w14:paraId="397354C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150787" w14:textId="77777777" w:rsidR="00D90956" w:rsidRDefault="00185F51">
            <w:pPr>
              <w:spacing w:before="240" w:after="240"/>
              <w:rPr>
                <w:rFonts w:ascii="Arial" w:eastAsia="Arial" w:hAnsi="Arial" w:cs="Arial"/>
                <w:b/>
                <w:sz w:val="24"/>
                <w:szCs w:val="24"/>
              </w:rPr>
            </w:pPr>
            <w:bookmarkStart w:id="3" w:name="_heading=h.1fob9te" w:colFirst="0" w:colLast="0"/>
            <w:bookmarkEnd w:id="3"/>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CEB143"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D90956" w14:paraId="435BF1D0" w14:textId="77777777">
        <w:tc>
          <w:tcPr>
            <w:tcW w:w="2691" w:type="dxa"/>
          </w:tcPr>
          <w:p w14:paraId="1887E5F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4" w:name="_heading=h.efem3jhdrn5" w:colFirst="0" w:colLast="0"/>
            <w:bookmarkEnd w:id="4"/>
            <w:r>
              <w:rPr>
                <w:rFonts w:ascii="Arial" w:eastAsia="Arial" w:hAnsi="Arial" w:cs="Arial"/>
                <w:b/>
                <w:color w:val="000000"/>
                <w:sz w:val="24"/>
                <w:szCs w:val="24"/>
              </w:rPr>
              <w:t>"Achieve"</w:t>
            </w:r>
          </w:p>
        </w:tc>
        <w:tc>
          <w:tcPr>
            <w:tcW w:w="7342" w:type="dxa"/>
          </w:tcPr>
          <w:p w14:paraId="308D9A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90956" w14:paraId="746EBF1A" w14:textId="77777777">
        <w:tc>
          <w:tcPr>
            <w:tcW w:w="2691" w:type="dxa"/>
          </w:tcPr>
          <w:p w14:paraId="39589387" w14:textId="2D8F99E8"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t>
            </w:r>
            <w:r w:rsidR="0025339C">
              <w:rPr>
                <w:rFonts w:ascii="Arial" w:eastAsia="Arial" w:hAnsi="Arial" w:cs="Arial"/>
                <w:b/>
                <w:color w:val="000000"/>
                <w:sz w:val="24"/>
                <w:szCs w:val="24"/>
              </w:rPr>
              <w:t>Additional Insurances</w:t>
            </w:r>
            <w:r>
              <w:rPr>
                <w:rFonts w:ascii="Arial" w:eastAsia="Arial" w:hAnsi="Arial" w:cs="Arial"/>
                <w:b/>
                <w:color w:val="000000"/>
                <w:sz w:val="24"/>
                <w:szCs w:val="24"/>
              </w:rPr>
              <w:t>"</w:t>
            </w:r>
          </w:p>
        </w:tc>
        <w:tc>
          <w:tcPr>
            <w:tcW w:w="7342" w:type="dxa"/>
          </w:tcPr>
          <w:p w14:paraId="1620692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90956" w14:paraId="7F196AE7" w14:textId="77777777">
        <w:tc>
          <w:tcPr>
            <w:tcW w:w="2691" w:type="dxa"/>
            <w:vAlign w:val="center"/>
          </w:tcPr>
          <w:p w14:paraId="57A642A7"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Service</w:t>
            </w:r>
          </w:p>
          <w:p w14:paraId="2057E466" w14:textId="77777777" w:rsidR="00D90956" w:rsidRDefault="00185F51">
            <w:pPr>
              <w:spacing w:after="120"/>
              <w:jc w:val="center"/>
              <w:rPr>
                <w:rFonts w:ascii="Arial" w:eastAsia="Arial" w:hAnsi="Arial" w:cs="Arial"/>
                <w:b/>
                <w:sz w:val="24"/>
                <w:szCs w:val="24"/>
              </w:rPr>
            </w:pPr>
            <w:r>
              <w:rPr>
                <w:rFonts w:ascii="Arial" w:eastAsia="Arial" w:hAnsi="Arial" w:cs="Arial"/>
                <w:b/>
                <w:sz w:val="24"/>
                <w:szCs w:val="24"/>
              </w:rPr>
              <w:t>Or</w:t>
            </w:r>
          </w:p>
          <w:p w14:paraId="66E1EDD3"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Deliverable”</w:t>
            </w:r>
          </w:p>
        </w:tc>
        <w:tc>
          <w:tcPr>
            <w:tcW w:w="7342" w:type="dxa"/>
            <w:vAlign w:val="center"/>
          </w:tcPr>
          <w:p w14:paraId="046DB084" w14:textId="77777777" w:rsidR="00D90956" w:rsidRDefault="00185F51">
            <w:pPr>
              <w:ind w:left="284" w:right="242"/>
              <w:rPr>
                <w:rFonts w:ascii="Arial" w:eastAsia="Arial" w:hAnsi="Arial" w:cs="Arial"/>
                <w:sz w:val="24"/>
                <w:szCs w:val="24"/>
              </w:rPr>
            </w:pPr>
            <w:r>
              <w:rPr>
                <w:rFonts w:ascii="Arial" w:eastAsia="Arial" w:hAnsi="Arial" w:cs="Arial"/>
                <w:sz w:val="24"/>
                <w:szCs w:val="24"/>
              </w:rPr>
              <w:t>the Services as defined in Framework Schedule 1 – Specification that Suppliers may elect to provide under this Framework.</w:t>
            </w:r>
          </w:p>
        </w:tc>
      </w:tr>
      <w:tr w:rsidR="00D90956" w14:paraId="4A30F333" w14:textId="77777777">
        <w:tc>
          <w:tcPr>
            <w:tcW w:w="2691" w:type="dxa"/>
          </w:tcPr>
          <w:p w14:paraId="0D270D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2E3F3715" w14:textId="77777777" w:rsidR="00D90956" w:rsidRDefault="00185F51">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tariff of administration charges published by the CCS on: http://CCS.cabinetoffice.gov.uk/i-am-Supplier/management-information/admin-fees;</w:t>
            </w:r>
          </w:p>
        </w:tc>
      </w:tr>
      <w:tr w:rsidR="00D90956" w14:paraId="5DCD7C46" w14:textId="77777777">
        <w:tc>
          <w:tcPr>
            <w:tcW w:w="2691" w:type="dxa"/>
          </w:tcPr>
          <w:p w14:paraId="52EECBC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2E0DAD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90956" w14:paraId="53982EFB" w14:textId="77777777">
        <w:tc>
          <w:tcPr>
            <w:tcW w:w="2691" w:type="dxa"/>
          </w:tcPr>
          <w:p w14:paraId="2F2577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4B749C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D90956" w14:paraId="3B9F6728" w14:textId="77777777">
        <w:tc>
          <w:tcPr>
            <w:tcW w:w="2691" w:type="dxa"/>
          </w:tcPr>
          <w:p w14:paraId="104F3BB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“Agent(s)”</w:t>
            </w:r>
          </w:p>
        </w:tc>
        <w:tc>
          <w:tcPr>
            <w:tcW w:w="7342" w:type="dxa"/>
          </w:tcPr>
          <w:p w14:paraId="4AB27781"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D90956" w14:paraId="2A18454C" w14:textId="77777777">
        <w:tc>
          <w:tcPr>
            <w:tcW w:w="2691" w:type="dxa"/>
          </w:tcPr>
          <w:p w14:paraId="6D453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“AI”</w:t>
            </w:r>
          </w:p>
        </w:tc>
        <w:tc>
          <w:tcPr>
            <w:tcW w:w="7342" w:type="dxa"/>
          </w:tcPr>
          <w:p w14:paraId="12FA5EE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Artificial Intelligence;</w:t>
            </w:r>
          </w:p>
        </w:tc>
      </w:tr>
      <w:tr w:rsidR="00D90956" w14:paraId="095565C8" w14:textId="77777777">
        <w:tc>
          <w:tcPr>
            <w:tcW w:w="2691" w:type="dxa"/>
          </w:tcPr>
          <w:p w14:paraId="00274B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7E9A87B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90956" w14:paraId="4426D490" w14:textId="77777777">
        <w:tc>
          <w:tcPr>
            <w:tcW w:w="2691" w:type="dxa"/>
          </w:tcPr>
          <w:p w14:paraId="2C2E53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0847C39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90956" w14:paraId="0CA7B176" w14:textId="77777777">
        <w:tc>
          <w:tcPr>
            <w:tcW w:w="2691" w:type="dxa"/>
            <w:vAlign w:val="center"/>
          </w:tcPr>
          <w:p w14:paraId="20B58350"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14:paraId="6E7B563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D90956" w14:paraId="02B3F478" w14:textId="77777777">
        <w:tc>
          <w:tcPr>
            <w:tcW w:w="2691" w:type="dxa"/>
            <w:vAlign w:val="center"/>
          </w:tcPr>
          <w:p w14:paraId="184FACF3"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Register”</w:t>
            </w:r>
          </w:p>
        </w:tc>
        <w:tc>
          <w:tcPr>
            <w:tcW w:w="7342" w:type="dxa"/>
            <w:vAlign w:val="center"/>
          </w:tcPr>
          <w:p w14:paraId="43AA98C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 list of Assets, as referred to in paragraph 1.7.20 of Work Package Q of the Specification.</w:t>
            </w:r>
          </w:p>
        </w:tc>
      </w:tr>
      <w:tr w:rsidR="00D90956" w14:paraId="5CEDA378" w14:textId="77777777">
        <w:tc>
          <w:tcPr>
            <w:tcW w:w="2691" w:type="dxa"/>
          </w:tcPr>
          <w:p w14:paraId="4CB661D4"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14:paraId="0BD3F1BD"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D90956" w14:paraId="7A99BF7C" w14:textId="77777777">
        <w:tc>
          <w:tcPr>
            <w:tcW w:w="2691" w:type="dxa"/>
          </w:tcPr>
          <w:p w14:paraId="23A51B3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14:paraId="10111686" w14:textId="77777777" w:rsidR="00D90956" w:rsidRDefault="00185F51">
            <w:pPr>
              <w:tabs>
                <w:tab w:val="left" w:pos="-179"/>
                <w:tab w:val="left" w:pos="-9"/>
              </w:tabs>
              <w:spacing w:before="240" w:after="240"/>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D90956" w14:paraId="6B705847" w14:textId="77777777">
        <w:tc>
          <w:tcPr>
            <w:tcW w:w="2691" w:type="dxa"/>
          </w:tcPr>
          <w:p w14:paraId="7753E9B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14:paraId="6939DA15"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w:t>
            </w:r>
            <w:r>
              <w:rPr>
                <w:rFonts w:ascii="Arial" w:eastAsia="Arial" w:hAnsi="Arial" w:cs="Arial"/>
                <w:sz w:val="24"/>
                <w:szCs w:val="24"/>
              </w:rPr>
              <w:t xml:space="preserve"> the Buyer, necessitate revisions to the “Services” and/or “Charges” </w:t>
            </w:r>
            <w:r>
              <w:rPr>
                <w:rFonts w:ascii="Arial" w:eastAsia="Arial" w:hAnsi="Arial" w:cs="Arial"/>
                <w:sz w:val="24"/>
                <w:szCs w:val="24"/>
              </w:rPr>
              <w:lastRenderedPageBreak/>
              <w:t>to ensure compliance with the Buyer’s statutory and/or insurance obligations</w:t>
            </w:r>
          </w:p>
        </w:tc>
      </w:tr>
      <w:tr w:rsidR="00D90956" w14:paraId="28563BFB" w14:textId="77777777">
        <w:tc>
          <w:tcPr>
            <w:tcW w:w="2691" w:type="dxa"/>
          </w:tcPr>
          <w:p w14:paraId="4FF7974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“Asset Verification Rectification Plan”</w:t>
            </w:r>
          </w:p>
        </w:tc>
        <w:tc>
          <w:tcPr>
            <w:tcW w:w="7342" w:type="dxa"/>
          </w:tcPr>
          <w:p w14:paraId="68733F74"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w:t>
            </w:r>
            <w:r>
              <w:rPr>
                <w:rFonts w:ascii="Arial" w:eastAsia="Arial" w:hAnsi="Arial" w:cs="Arial"/>
                <w:sz w:val="24"/>
                <w:szCs w:val="24"/>
              </w:rPr>
              <w:t>ation Report has been agreed by the Buyer, that will include rectifications and the costs associated with the delivery of the PPM and reactive maintenance works;</w:t>
            </w:r>
          </w:p>
        </w:tc>
      </w:tr>
      <w:tr w:rsidR="00D90956" w14:paraId="1F202A6B" w14:textId="77777777">
        <w:tc>
          <w:tcPr>
            <w:tcW w:w="2691" w:type="dxa"/>
          </w:tcPr>
          <w:p w14:paraId="0F47C2CF" w14:textId="79362F9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“Asset Verification </w:t>
            </w:r>
            <w:r w:rsidR="0025339C">
              <w:rPr>
                <w:rFonts w:ascii="Arial" w:eastAsia="Arial" w:hAnsi="Arial" w:cs="Arial"/>
                <w:b/>
                <w:sz w:val="24"/>
                <w:szCs w:val="24"/>
              </w:rPr>
              <w:t>Non-Compliance</w:t>
            </w:r>
            <w:r>
              <w:rPr>
                <w:rFonts w:ascii="Arial" w:eastAsia="Arial" w:hAnsi="Arial" w:cs="Arial"/>
                <w:b/>
                <w:sz w:val="24"/>
                <w:szCs w:val="24"/>
              </w:rPr>
              <w:t xml:space="preserve"> Report”</w:t>
            </w:r>
          </w:p>
          <w:p w14:paraId="4F0942A2" w14:textId="77777777" w:rsidR="00D90956" w:rsidRDefault="00D90956">
            <w:pPr>
              <w:rPr>
                <w:rFonts w:ascii="Arial" w:eastAsia="Arial" w:hAnsi="Arial" w:cs="Arial"/>
                <w:sz w:val="24"/>
                <w:szCs w:val="24"/>
              </w:rPr>
            </w:pPr>
          </w:p>
        </w:tc>
        <w:tc>
          <w:tcPr>
            <w:tcW w:w="7342" w:type="dxa"/>
          </w:tcPr>
          <w:p w14:paraId="314E2CF9"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D90956" w14:paraId="65C2963C" w14:textId="77777777">
        <w:tc>
          <w:tcPr>
            <w:tcW w:w="2691" w:type="dxa"/>
          </w:tcPr>
          <w:p w14:paraId="30081C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“Assistive Technologies”</w:t>
            </w:r>
          </w:p>
        </w:tc>
        <w:tc>
          <w:tcPr>
            <w:tcW w:w="7342" w:type="dxa"/>
          </w:tcPr>
          <w:p w14:paraId="422D7A8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describes prod</w:t>
            </w:r>
            <w:r>
              <w:rPr>
                <w:rFonts w:ascii="Arial" w:eastAsia="Arial" w:hAnsi="Arial" w:cs="Arial"/>
                <w:sz w:val="24"/>
                <w:szCs w:val="24"/>
              </w:rPr>
              <w:t>ucts or systems that support and assist individuals with disabilities, restricted mobility or other impairments to perform functions that might otherwise be difficult or impossible;</w:t>
            </w:r>
          </w:p>
        </w:tc>
      </w:tr>
      <w:tr w:rsidR="00D90956" w14:paraId="7FCE7AE5" w14:textId="77777777">
        <w:tc>
          <w:tcPr>
            <w:tcW w:w="2691" w:type="dxa"/>
          </w:tcPr>
          <w:p w14:paraId="750A6C0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2BDF993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3C05CE3D"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45C5CC48" w14:textId="7F88E528"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 xml:space="preserve">ctors and any </w:t>
            </w:r>
            <w:r w:rsidR="0025339C">
              <w:rPr>
                <w:rFonts w:ascii="Arial" w:eastAsia="Arial" w:hAnsi="Arial" w:cs="Arial"/>
                <w:color w:val="000000"/>
                <w:sz w:val="24"/>
                <w:szCs w:val="24"/>
              </w:rPr>
              <w:t>third-party</w:t>
            </w:r>
            <w:r>
              <w:rPr>
                <w:rFonts w:ascii="Arial" w:eastAsia="Arial" w:hAnsi="Arial" w:cs="Arial"/>
                <w:color w:val="000000"/>
                <w:sz w:val="24"/>
                <w:szCs w:val="24"/>
              </w:rPr>
              <w:t xml:space="preserve"> </w:t>
            </w:r>
            <w:r>
              <w:rPr>
                <w:rFonts w:ascii="Arial" w:eastAsia="Arial" w:hAnsi="Arial" w:cs="Arial"/>
                <w:sz w:val="24"/>
                <w:szCs w:val="24"/>
              </w:rPr>
              <w:t>Supplier</w:t>
            </w:r>
            <w:r>
              <w:rPr>
                <w:rFonts w:ascii="Arial" w:eastAsia="Arial" w:hAnsi="Arial" w:cs="Arial"/>
                <w:color w:val="000000"/>
                <w:sz w:val="24"/>
                <w:szCs w:val="24"/>
              </w:rPr>
              <w:t>s) in connection with the provision of the Deliverables;</w:t>
            </w:r>
          </w:p>
          <w:p w14:paraId="503AC2F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79576622"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28F61AB8"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14:paraId="046BBBC5"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14:paraId="340F2D83"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w:t>
            </w:r>
            <w:r>
              <w:rPr>
                <w:rFonts w:ascii="Arial" w:eastAsia="Arial" w:hAnsi="Arial" w:cs="Arial"/>
                <w:color w:val="000000"/>
                <w:sz w:val="24"/>
                <w:szCs w:val="24"/>
              </w:rPr>
              <w:lastRenderedPageBreak/>
              <w:t>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14:paraId="4551D63A"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6F944E87"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14:paraId="27957A9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14:paraId="2C8DD6B1"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14:paraId="58720F3A" w14:textId="77777777" w:rsidR="00D90956" w:rsidRDefault="00185F51">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2ABF167D" w14:textId="77777777" w:rsidR="00D90956" w:rsidRDefault="00D90956">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p>
        </w:tc>
      </w:tr>
      <w:tr w:rsidR="00D90956" w14:paraId="19986389" w14:textId="77777777">
        <w:tc>
          <w:tcPr>
            <w:tcW w:w="2691" w:type="dxa"/>
          </w:tcPr>
          <w:p w14:paraId="2F4D99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4F17FBBC"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662129D2"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214E44E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52B6A6D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w:t>
            </w:r>
            <w:r>
              <w:rPr>
                <w:rFonts w:ascii="Arial" w:eastAsia="Arial" w:hAnsi="Arial" w:cs="Arial"/>
                <w:color w:val="000000"/>
                <w:sz w:val="24"/>
                <w:szCs w:val="24"/>
              </w:rPr>
              <w:t>et Office;</w:t>
            </w:r>
          </w:p>
          <w:p w14:paraId="442C4EA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72D2BC8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D90956" w14:paraId="736895DA" w14:textId="77777777">
        <w:trPr>
          <w:trHeight w:val="601"/>
        </w:trPr>
        <w:tc>
          <w:tcPr>
            <w:tcW w:w="2691" w:type="dxa"/>
          </w:tcPr>
          <w:p w14:paraId="062F516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605336C2"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D90956" w14:paraId="0BF27669" w14:textId="77777777">
        <w:tc>
          <w:tcPr>
            <w:tcW w:w="2691" w:type="dxa"/>
          </w:tcPr>
          <w:p w14:paraId="0E49C32F" w14:textId="77777777" w:rsidR="00D90956" w:rsidRDefault="00185F51">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3ED1A6A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D90956" w14:paraId="53FAF1F1" w14:textId="77777777">
        <w:tc>
          <w:tcPr>
            <w:tcW w:w="2691" w:type="dxa"/>
          </w:tcPr>
          <w:p w14:paraId="6FB560A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14:paraId="1C49BD96"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administrative functions carried out either manually or automated not requiring front line contact;</w:t>
            </w:r>
          </w:p>
        </w:tc>
      </w:tr>
      <w:tr w:rsidR="00D90956" w14:paraId="63BDF770" w14:textId="77777777">
        <w:tc>
          <w:tcPr>
            <w:tcW w:w="2691" w:type="dxa"/>
          </w:tcPr>
          <w:p w14:paraId="5D208B3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“Back-pay”</w:t>
            </w:r>
          </w:p>
        </w:tc>
        <w:tc>
          <w:tcPr>
            <w:tcW w:w="7342" w:type="dxa"/>
          </w:tcPr>
          <w:p w14:paraId="4489563B"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D90956" w14:paraId="1201BE12" w14:textId="77777777">
        <w:tc>
          <w:tcPr>
            <w:tcW w:w="2691" w:type="dxa"/>
          </w:tcPr>
          <w:p w14:paraId="09CA74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36D12EE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w:t>
            </w:r>
            <w:r>
              <w:rPr>
                <w:rFonts w:ascii="Arial" w:eastAsia="Arial" w:hAnsi="Arial" w:cs="Arial"/>
                <w:color w:val="000000"/>
                <w:sz w:val="24"/>
                <w:szCs w:val="24"/>
              </w:rPr>
              <w:t>d Kingdom;</w:t>
            </w:r>
          </w:p>
        </w:tc>
      </w:tr>
      <w:tr w:rsidR="00D90956" w14:paraId="3AFC16EB" w14:textId="77777777">
        <w:tc>
          <w:tcPr>
            <w:tcW w:w="2691" w:type="dxa"/>
          </w:tcPr>
          <w:p w14:paraId="67E5841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6B085D9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B929D9C" w14:textId="77777777">
        <w:tc>
          <w:tcPr>
            <w:tcW w:w="2691" w:type="dxa"/>
            <w:vAlign w:val="center"/>
          </w:tcPr>
          <w:p w14:paraId="740808EA"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14:paraId="734AE726" w14:textId="212EFE04"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when the cost of repairing and/or maintaining an Asset outweighs the cost of replacing it and is likely to increase the risk of</w:t>
            </w:r>
            <w:r>
              <w:rPr>
                <w:rFonts w:ascii="Arial" w:eastAsia="Arial" w:hAnsi="Arial" w:cs="Arial"/>
                <w:sz w:val="24"/>
                <w:szCs w:val="24"/>
              </w:rPr>
              <w:t xml:space="preserve"> unplanned downtime or pose potential health and safety risks </w:t>
            </w:r>
          </w:p>
        </w:tc>
      </w:tr>
      <w:tr w:rsidR="00D90956" w14:paraId="29C5567D" w14:textId="77777777">
        <w:tc>
          <w:tcPr>
            <w:tcW w:w="2691" w:type="dxa"/>
            <w:vAlign w:val="center"/>
          </w:tcPr>
          <w:p w14:paraId="62B52670"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14:paraId="5A907C70" w14:textId="77777777" w:rsidR="00D90956" w:rsidRDefault="00185F51">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14:paraId="7402C826"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01FCD41D" w14:textId="77777777">
        <w:tc>
          <w:tcPr>
            <w:tcW w:w="2691" w:type="dxa"/>
            <w:vAlign w:val="center"/>
          </w:tcPr>
          <w:p w14:paraId="1293B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14:paraId="47CC419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D90956" w14:paraId="5B75422F" w14:textId="77777777">
        <w:tc>
          <w:tcPr>
            <w:tcW w:w="2691" w:type="dxa"/>
            <w:vAlign w:val="center"/>
          </w:tcPr>
          <w:p w14:paraId="5B620DFD"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14:paraId="5BBF78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the process described as such in Framework Schedule 1 (Specifi</w:t>
            </w:r>
            <w:r>
              <w:rPr>
                <w:rFonts w:ascii="Arial" w:eastAsia="Arial" w:hAnsi="Arial" w:cs="Arial"/>
                <w:sz w:val="24"/>
                <w:szCs w:val="24"/>
              </w:rPr>
              <w:t xml:space="preserve">cation) - Appendix 3 – Billable Works and Approvals Process </w:t>
            </w:r>
          </w:p>
        </w:tc>
      </w:tr>
      <w:tr w:rsidR="00D90956" w14:paraId="71AC1B8E" w14:textId="77777777">
        <w:tc>
          <w:tcPr>
            <w:tcW w:w="2691" w:type="dxa"/>
            <w:vAlign w:val="center"/>
          </w:tcPr>
          <w:p w14:paraId="3C78E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14:paraId="052EDB9F"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5" w:name="_heading=h.2s8eyo1" w:colFirst="0" w:colLast="0"/>
            <w:bookmarkEnd w:id="5"/>
            <w:r>
              <w:rPr>
                <w:rFonts w:ascii="Arial" w:eastAsia="Arial" w:hAnsi="Arial" w:cs="Arial"/>
                <w:color w:val="202124"/>
                <w:sz w:val="24"/>
                <w:szCs w:val="24"/>
              </w:rPr>
              <w:t>The % applied to the cost of the Billable Works as set out in the Pricing Matrix, to cover overhead costs as detailed in Call Off schedule 25 - Billable Works paragraph 2.2</w:t>
            </w:r>
          </w:p>
        </w:tc>
      </w:tr>
      <w:tr w:rsidR="00D90956" w14:paraId="1A5D7123" w14:textId="77777777">
        <w:tc>
          <w:tcPr>
            <w:tcW w:w="2691" w:type="dxa"/>
            <w:vAlign w:val="center"/>
          </w:tcPr>
          <w:p w14:paraId="72AA0AA6" w14:textId="77777777" w:rsidR="00D90956" w:rsidRDefault="00185F51">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14:paraId="00676A16"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highlight w:val="white"/>
              </w:rPr>
              <w:t>A Call-Off Contract categorised as a Bronze contract using the Cabinet Office Contract Tiering Tool</w:t>
            </w:r>
          </w:p>
        </w:tc>
      </w:tr>
      <w:tr w:rsidR="00D90956" w14:paraId="6508B3C2" w14:textId="77777777">
        <w:tc>
          <w:tcPr>
            <w:tcW w:w="2691" w:type="dxa"/>
            <w:vAlign w:val="center"/>
          </w:tcPr>
          <w:p w14:paraId="0DCA0677"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14:paraId="1A66AE4C" w14:textId="5072BB13"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(i) described as such in the Order Form; (ii</w:t>
            </w:r>
            <w:r w:rsidR="0025339C">
              <w:rPr>
                <w:rFonts w:ascii="Arial" w:eastAsia="Arial" w:hAnsi="Arial" w:cs="Arial"/>
                <w:color w:val="000000"/>
                <w:sz w:val="24"/>
                <w:szCs w:val="24"/>
              </w:rPr>
              <w:t>) which</w:t>
            </w:r>
            <w:r>
              <w:rPr>
                <w:rFonts w:ascii="Arial" w:eastAsia="Arial" w:hAnsi="Arial" w:cs="Arial"/>
                <w:color w:val="000000"/>
                <w:sz w:val="24"/>
                <w:szCs w:val="24"/>
              </w:rPr>
              <w:t xml:space="preserve"> relates to the immediate security</w:t>
            </w:r>
            <w:r>
              <w:rPr>
                <w:rFonts w:ascii="Arial" w:eastAsia="Arial" w:hAnsi="Arial" w:cs="Arial"/>
                <w:sz w:val="24"/>
                <w:szCs w:val="24"/>
              </w:rPr>
              <w:t xml:space="preserve"> </w:t>
            </w:r>
            <w:r>
              <w:rPr>
                <w:rFonts w:ascii="Arial" w:eastAsia="Arial" w:hAnsi="Arial" w:cs="Arial"/>
                <w:color w:val="000000"/>
                <w:sz w:val="24"/>
                <w:szCs w:val="24"/>
              </w:rPr>
              <w:t xml:space="preserve">or health and safety of </w:t>
            </w:r>
            <w:r>
              <w:rPr>
                <w:rFonts w:ascii="Arial" w:eastAsia="Arial" w:hAnsi="Arial" w:cs="Arial"/>
                <w:color w:val="000000"/>
                <w:sz w:val="24"/>
                <w:szCs w:val="24"/>
              </w:rPr>
              <w:t>Buyer Premises; or (iii) which triggers the invocation of the Business Continuity and Disaster Recovery Plan;</w:t>
            </w:r>
          </w:p>
          <w:p w14:paraId="703965F1"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7D60CACB" w14:textId="77777777">
        <w:tc>
          <w:tcPr>
            <w:tcW w:w="2691" w:type="dxa"/>
          </w:tcPr>
          <w:p w14:paraId="19E50A65"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14:paraId="02CC944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90956" w14:paraId="098C8A59" w14:textId="77777777">
        <w:tc>
          <w:tcPr>
            <w:tcW w:w="2691" w:type="dxa"/>
          </w:tcPr>
          <w:p w14:paraId="0550C2A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14:paraId="0647BF8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D90956" w14:paraId="13C4B9C0" w14:textId="77777777">
        <w:tc>
          <w:tcPr>
            <w:tcW w:w="2691" w:type="dxa"/>
          </w:tcPr>
          <w:p w14:paraId="6FA4310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8FAACD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90956" w14:paraId="6A2CD32A" w14:textId="77777777">
        <w:trPr>
          <w:trHeight w:val="540"/>
        </w:trPr>
        <w:tc>
          <w:tcPr>
            <w:tcW w:w="2691" w:type="dxa"/>
            <w:vAlign w:val="center"/>
          </w:tcPr>
          <w:p w14:paraId="7D16BCD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14:paraId="6C573F8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D90956" w14:paraId="1031898D" w14:textId="77777777">
        <w:tc>
          <w:tcPr>
            <w:tcW w:w="2691" w:type="dxa"/>
          </w:tcPr>
          <w:p w14:paraId="54ADEA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2EFF38C4"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90956" w14:paraId="26B7548A" w14:textId="77777777">
        <w:tc>
          <w:tcPr>
            <w:tcW w:w="2691" w:type="dxa"/>
          </w:tcPr>
          <w:p w14:paraId="5776B19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7F883071" w14:textId="77777777" w:rsidR="00D90956" w:rsidRDefault="00185F51">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D90956" w14:paraId="111F12E1" w14:textId="77777777">
        <w:tc>
          <w:tcPr>
            <w:tcW w:w="2691" w:type="dxa"/>
          </w:tcPr>
          <w:p w14:paraId="623304C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5A4B2D8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D90956" w14:paraId="794DCF94" w14:textId="77777777">
        <w:tc>
          <w:tcPr>
            <w:tcW w:w="2691" w:type="dxa"/>
          </w:tcPr>
          <w:p w14:paraId="7023EBF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2D21809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D90956" w14:paraId="734C475F" w14:textId="77777777">
        <w:tc>
          <w:tcPr>
            <w:tcW w:w="2691" w:type="dxa"/>
          </w:tcPr>
          <w:p w14:paraId="3921549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4EB791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90956" w14:paraId="086449A6" w14:textId="77777777">
        <w:tc>
          <w:tcPr>
            <w:tcW w:w="2691" w:type="dxa"/>
          </w:tcPr>
          <w:p w14:paraId="505B02C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4E8611C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90956" w14:paraId="2CF214F8" w14:textId="77777777">
        <w:tc>
          <w:tcPr>
            <w:tcW w:w="2691" w:type="dxa"/>
          </w:tcPr>
          <w:p w14:paraId="0A6A16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14:paraId="22F505F4" w14:textId="7CF3C42C"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w:t>
            </w:r>
            <w:r w:rsidR="0025339C">
              <w:rPr>
                <w:rFonts w:ascii="Arial" w:eastAsia="Arial" w:hAnsi="Arial" w:cs="Arial"/>
                <w:sz w:val="24"/>
                <w:szCs w:val="24"/>
              </w:rPr>
              <w:t xml:space="preserve">commence </w:t>
            </w:r>
            <w:r w:rsidR="0025339C">
              <w:rPr>
                <w:rFonts w:ascii="Arial" w:eastAsia="Arial" w:hAnsi="Arial" w:cs="Arial"/>
                <w:color w:val="000000"/>
                <w:sz w:val="24"/>
                <w:szCs w:val="24"/>
                <w:highlight w:val="white"/>
              </w:rPr>
              <w:t>following</w:t>
            </w:r>
            <w:r>
              <w:rPr>
                <w:rFonts w:ascii="Arial" w:eastAsia="Arial" w:hAnsi="Arial" w:cs="Arial"/>
                <w:color w:val="000000"/>
                <w:sz w:val="24"/>
                <w:szCs w:val="24"/>
                <w:highlight w:val="white"/>
              </w:rPr>
              <w:t xml:space="preserve"> the Mobilisation Period;</w:t>
            </w:r>
          </w:p>
        </w:tc>
      </w:tr>
      <w:tr w:rsidR="00D90956" w14:paraId="208874C8" w14:textId="77777777">
        <w:tc>
          <w:tcPr>
            <w:tcW w:w="2691" w:type="dxa"/>
          </w:tcPr>
          <w:p w14:paraId="5E1B31D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45373A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90956" w14:paraId="2B0BF7DE" w14:textId="77777777">
        <w:tc>
          <w:tcPr>
            <w:tcW w:w="2691" w:type="dxa"/>
          </w:tcPr>
          <w:p w14:paraId="2DF4EF7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289303F8"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w:t>
            </w:r>
            <w:r>
              <w:rPr>
                <w:rFonts w:ascii="Arial" w:eastAsia="Arial" w:hAnsi="Arial" w:cs="Arial"/>
                <w:color w:val="000000"/>
                <w:sz w:val="24"/>
                <w:szCs w:val="24"/>
              </w:rPr>
              <w:t>Off Award Procedure);</w:t>
            </w:r>
          </w:p>
        </w:tc>
      </w:tr>
      <w:tr w:rsidR="00D90956" w14:paraId="01EEDB61" w14:textId="77777777">
        <w:tc>
          <w:tcPr>
            <w:tcW w:w="2691" w:type="dxa"/>
          </w:tcPr>
          <w:p w14:paraId="0530D10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3CCF90B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D90956" w14:paraId="261FA84E" w14:textId="77777777">
        <w:tc>
          <w:tcPr>
            <w:tcW w:w="2691" w:type="dxa"/>
          </w:tcPr>
          <w:p w14:paraId="4362BC2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DD8180E"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D90956" w14:paraId="5C3CC321" w14:textId="77777777">
        <w:tc>
          <w:tcPr>
            <w:tcW w:w="2691" w:type="dxa"/>
          </w:tcPr>
          <w:p w14:paraId="27887C4C"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yellow"/>
              </w:rPr>
            </w:pPr>
            <w:r w:rsidRPr="0025339C">
              <w:rPr>
                <w:rFonts w:ascii="Arial" w:eastAsia="Arial" w:hAnsi="Arial" w:cs="Arial"/>
                <w:b/>
                <w:color w:val="000000"/>
                <w:sz w:val="24"/>
                <w:szCs w:val="24"/>
              </w:rPr>
              <w:t>“Call-Off Contract Start Date”</w:t>
            </w:r>
          </w:p>
        </w:tc>
        <w:tc>
          <w:tcPr>
            <w:tcW w:w="7342" w:type="dxa"/>
          </w:tcPr>
          <w:p w14:paraId="3A153FC9"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highlight w:val="yellow"/>
              </w:rPr>
            </w:pPr>
            <w:r w:rsidRPr="0025339C">
              <w:rPr>
                <w:rFonts w:ascii="Arial" w:eastAsia="Arial" w:hAnsi="Arial" w:cs="Arial"/>
                <w:color w:val="000000"/>
                <w:sz w:val="24"/>
                <w:szCs w:val="24"/>
              </w:rPr>
              <w:t>means the same as Call-Off Start Date</w:t>
            </w:r>
          </w:p>
        </w:tc>
      </w:tr>
      <w:tr w:rsidR="00D90956" w14:paraId="751603FB" w14:textId="77777777">
        <w:tc>
          <w:tcPr>
            <w:tcW w:w="2691" w:type="dxa"/>
          </w:tcPr>
          <w:p w14:paraId="2216C3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Tender"</w:t>
            </w:r>
          </w:p>
        </w:tc>
        <w:tc>
          <w:tcPr>
            <w:tcW w:w="7342" w:type="dxa"/>
          </w:tcPr>
          <w:p w14:paraId="5E4E18B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90956" w14:paraId="00F66DA2" w14:textId="77777777">
        <w:tc>
          <w:tcPr>
            <w:tcW w:w="2691" w:type="dxa"/>
          </w:tcPr>
          <w:p w14:paraId="68A3B18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14:paraId="6ADED0A0" w14:textId="0A162EF2"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highlight w:val="white"/>
              </w:rPr>
              <w:t xml:space="preserve">a plan which contains the details </w:t>
            </w:r>
            <w:r w:rsidR="0025339C">
              <w:rPr>
                <w:rFonts w:ascii="Arial" w:eastAsia="Arial" w:hAnsi="Arial" w:cs="Arial"/>
                <w:color w:val="202124"/>
                <w:sz w:val="24"/>
                <w:szCs w:val="24"/>
                <w:highlight w:val="white"/>
              </w:rPr>
              <w:t>of emissions</w:t>
            </w:r>
            <w:r>
              <w:rPr>
                <w:rFonts w:ascii="Arial" w:eastAsia="Arial" w:hAnsi="Arial" w:cs="Arial"/>
                <w:color w:val="202124"/>
                <w:sz w:val="24"/>
                <w:szCs w:val="24"/>
                <w:highlight w:val="white"/>
              </w:rPr>
              <w:t xml:space="preserve"> across a single year against a range of emissions sources and greenhouse gasses, as per PPN 06/21.</w:t>
            </w:r>
          </w:p>
        </w:tc>
      </w:tr>
      <w:tr w:rsidR="00D90956" w14:paraId="7B1F9D14" w14:textId="77777777">
        <w:tc>
          <w:tcPr>
            <w:tcW w:w="2691" w:type="dxa"/>
          </w:tcPr>
          <w:p w14:paraId="08D89BB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78DAC0B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90956" w14:paraId="1D91E520" w14:textId="77777777">
        <w:tc>
          <w:tcPr>
            <w:tcW w:w="2691" w:type="dxa"/>
          </w:tcPr>
          <w:p w14:paraId="06DA0F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7342" w:type="dxa"/>
          </w:tcPr>
          <w:p w14:paraId="768669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90956" w14:paraId="17026EE1" w14:textId="77777777">
        <w:tc>
          <w:tcPr>
            <w:tcW w:w="2691" w:type="dxa"/>
          </w:tcPr>
          <w:p w14:paraId="010FC2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5495881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14:paraId="0792490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1209383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6BF3EB3"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71D517E4"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D90956" w14:paraId="7BF81EE1" w14:textId="77777777">
        <w:tc>
          <w:tcPr>
            <w:tcW w:w="2691" w:type="dxa"/>
          </w:tcPr>
          <w:p w14:paraId="53647A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50C3A0AE"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90956" w14:paraId="7AE1352F" w14:textId="77777777">
        <w:tc>
          <w:tcPr>
            <w:tcW w:w="2691" w:type="dxa"/>
          </w:tcPr>
          <w:p w14:paraId="78C59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5062D7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90956" w14:paraId="66049338" w14:textId="77777777">
        <w:tc>
          <w:tcPr>
            <w:tcW w:w="2691" w:type="dxa"/>
          </w:tcPr>
          <w:p w14:paraId="2CC24B0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7342" w:type="dxa"/>
          </w:tcPr>
          <w:p w14:paraId="34C433D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w:t>
            </w:r>
            <w:r>
              <w:rPr>
                <w:rFonts w:ascii="Arial" w:eastAsia="Arial" w:hAnsi="Arial" w:cs="Arial"/>
                <w:color w:val="000000"/>
                <w:sz w:val="24"/>
                <w:szCs w:val="24"/>
              </w:rPr>
              <w:t xml:space="preserve"> Deductions;</w:t>
            </w:r>
          </w:p>
        </w:tc>
      </w:tr>
      <w:tr w:rsidR="00D90956" w14:paraId="1AF9F411" w14:textId="77777777">
        <w:tc>
          <w:tcPr>
            <w:tcW w:w="2691" w:type="dxa"/>
          </w:tcPr>
          <w:p w14:paraId="5890B15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41EF78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A3BBC5D" w14:textId="77777777">
        <w:tc>
          <w:tcPr>
            <w:tcW w:w="2691" w:type="dxa"/>
          </w:tcPr>
          <w:p w14:paraId="0214EE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“Commercial Off-the-shelf (COTS)”</w:t>
            </w:r>
          </w:p>
        </w:tc>
        <w:tc>
          <w:tcPr>
            <w:tcW w:w="7342" w:type="dxa"/>
          </w:tcPr>
          <w:p w14:paraId="78095C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D90956" w14:paraId="623A208E" w14:textId="77777777">
        <w:tc>
          <w:tcPr>
            <w:tcW w:w="2691" w:type="dxa"/>
          </w:tcPr>
          <w:p w14:paraId="00B609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62A800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D90956" w14:paraId="5A53FDFF" w14:textId="77777777">
        <w:tc>
          <w:tcPr>
            <w:tcW w:w="2691" w:type="dxa"/>
          </w:tcPr>
          <w:p w14:paraId="6AFFD3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7363E4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90956" w14:paraId="4235BC2A" w14:textId="77777777">
        <w:tc>
          <w:tcPr>
            <w:tcW w:w="2691" w:type="dxa"/>
          </w:tcPr>
          <w:p w14:paraId="6343FB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w:t>
            </w:r>
            <w:r>
              <w:rPr>
                <w:rFonts w:ascii="Arial" w:eastAsia="Arial" w:hAnsi="Arial" w:cs="Arial"/>
                <w:b/>
                <w:color w:val="000000"/>
                <w:sz w:val="24"/>
                <w:szCs w:val="24"/>
              </w:rPr>
              <w:t>agement Plan”</w:t>
            </w:r>
          </w:p>
        </w:tc>
        <w:tc>
          <w:tcPr>
            <w:tcW w:w="7342" w:type="dxa"/>
          </w:tcPr>
          <w:p w14:paraId="42228ADB" w14:textId="77777777" w:rsidR="00D90956" w:rsidRDefault="00185F51">
            <w:pPr>
              <w:tabs>
                <w:tab w:val="left" w:pos="-179"/>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Call-Off Contract.</w:t>
            </w:r>
          </w:p>
        </w:tc>
      </w:tr>
      <w:tr w:rsidR="00D90956" w14:paraId="4633DFF5" w14:textId="77777777">
        <w:tc>
          <w:tcPr>
            <w:tcW w:w="2691" w:type="dxa"/>
          </w:tcPr>
          <w:p w14:paraId="2280717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342" w:type="dxa"/>
          </w:tcPr>
          <w:p w14:paraId="348DFD1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integrated syst</w:t>
            </w:r>
            <w:r>
              <w:rPr>
                <w:rFonts w:ascii="Arial" w:eastAsia="Arial" w:hAnsi="Arial" w:cs="Arial"/>
                <w:color w:val="000000"/>
                <w:sz w:val="24"/>
                <w:szCs w:val="24"/>
              </w:rPr>
              <w:t xml:space="preserve">em of documents, processes, tools, controls, and functions designed to ensure compliance with all legal requirements and any Buyer specified Services outlined within the Call-Off Contract. </w:t>
            </w:r>
          </w:p>
        </w:tc>
      </w:tr>
      <w:tr w:rsidR="00D90956" w14:paraId="435053AE" w14:textId="77777777">
        <w:tc>
          <w:tcPr>
            <w:tcW w:w="2691" w:type="dxa"/>
          </w:tcPr>
          <w:p w14:paraId="4F238A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342" w:type="dxa"/>
          </w:tcPr>
          <w:p w14:paraId="2175E7F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D90956" w14:paraId="52C07A36" w14:textId="77777777">
        <w:tc>
          <w:tcPr>
            <w:tcW w:w="2691" w:type="dxa"/>
          </w:tcPr>
          <w:p w14:paraId="7BA72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62E8C1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90956" w14:paraId="6A609DC0" w14:textId="77777777">
        <w:tc>
          <w:tcPr>
            <w:tcW w:w="2691" w:type="dxa"/>
            <w:vAlign w:val="center"/>
          </w:tcPr>
          <w:p w14:paraId="3D1D442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14:paraId="26CB9004"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w:t>
            </w:r>
            <w:r>
              <w:rPr>
                <w:rFonts w:ascii="Arial" w:eastAsia="Arial" w:hAnsi="Arial" w:cs="Arial"/>
                <w:sz w:val="24"/>
                <w:szCs w:val="24"/>
              </w:rPr>
              <w:t>, performed annually (or as otherwise specified by the Buyer);</w:t>
            </w:r>
          </w:p>
        </w:tc>
      </w:tr>
      <w:tr w:rsidR="00D90956" w14:paraId="091BAE7C" w14:textId="77777777">
        <w:tc>
          <w:tcPr>
            <w:tcW w:w="2691" w:type="dxa"/>
          </w:tcPr>
          <w:p w14:paraId="1790C6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2824068A"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Supplier</w:t>
            </w:r>
            <w:r>
              <w:rPr>
                <w:rFonts w:ascii="Arial" w:eastAsia="Arial" w:hAnsi="Arial" w:cs="Arial"/>
                <w:color w:val="000000"/>
                <w:sz w:val="24"/>
                <w:szCs w:val="24"/>
              </w:rPr>
              <w:t>s of CCS, the Buyer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90956" w14:paraId="084DFD31" w14:textId="77777777">
        <w:tc>
          <w:tcPr>
            <w:tcW w:w="2691" w:type="dxa"/>
          </w:tcPr>
          <w:p w14:paraId="0601701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342" w:type="dxa"/>
          </w:tcPr>
          <w:p w14:paraId="0034E55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90956" w14:paraId="77CB994F" w14:textId="77777777">
        <w:tc>
          <w:tcPr>
            <w:tcW w:w="2691" w:type="dxa"/>
          </w:tcPr>
          <w:p w14:paraId="32F6ED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45F2344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w:t>
            </w:r>
            <w:r>
              <w:rPr>
                <w:rFonts w:ascii="Arial" w:eastAsia="Arial" w:hAnsi="Arial" w:cs="Arial"/>
                <w:sz w:val="24"/>
                <w:szCs w:val="24"/>
              </w:rPr>
              <w:t>ducts, Services or processes;</w:t>
            </w:r>
          </w:p>
        </w:tc>
      </w:tr>
      <w:tr w:rsidR="00D90956" w14:paraId="0162A878" w14:textId="77777777">
        <w:tc>
          <w:tcPr>
            <w:tcW w:w="2691" w:type="dxa"/>
          </w:tcPr>
          <w:p w14:paraId="58C55F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26E38499"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90956" w14:paraId="47200CE0" w14:textId="77777777">
        <w:tc>
          <w:tcPr>
            <w:tcW w:w="2691" w:type="dxa"/>
          </w:tcPr>
          <w:p w14:paraId="40E5B0A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14:paraId="46B5CA5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D90956" w14:paraId="0920A52F" w14:textId="77777777">
        <w:tc>
          <w:tcPr>
            <w:tcW w:w="2691" w:type="dxa"/>
          </w:tcPr>
          <w:p w14:paraId="339AB9B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51D3F1EE"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4AF51DBD" w14:textId="77777777" w:rsidR="00D90956" w:rsidRDefault="00185F51">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3882B32D" w14:textId="77777777" w:rsidR="00D90956" w:rsidRDefault="00185F51">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D90956" w14:paraId="7C96E7C1" w14:textId="77777777">
        <w:tc>
          <w:tcPr>
            <w:tcW w:w="2691" w:type="dxa"/>
          </w:tcPr>
          <w:p w14:paraId="446DBBC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40C910D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90956" w14:paraId="7BC88028" w14:textId="77777777">
        <w:tc>
          <w:tcPr>
            <w:tcW w:w="2691" w:type="dxa"/>
          </w:tcPr>
          <w:p w14:paraId="4445E26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480B7D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w:t>
            </w:r>
            <w:r>
              <w:rPr>
                <w:rFonts w:ascii="Arial" w:eastAsia="Arial" w:hAnsi="Arial" w:cs="Arial"/>
                <w:sz w:val="24"/>
                <w:szCs w:val="24"/>
              </w:rPr>
              <w:t xml:space="preserve"> </w:t>
            </w:r>
            <w:r>
              <w:rPr>
                <w:rFonts w:ascii="Arial" w:eastAsia="Arial" w:hAnsi="Arial" w:cs="Arial"/>
                <w:color w:val="000000"/>
                <w:sz w:val="24"/>
                <w:szCs w:val="24"/>
              </w:rPr>
              <w:t>(12) Months commencing on the St</w:t>
            </w:r>
            <w:r>
              <w:rPr>
                <w:rFonts w:ascii="Arial" w:eastAsia="Arial" w:hAnsi="Arial" w:cs="Arial"/>
                <w:color w:val="000000"/>
                <w:sz w:val="24"/>
                <w:szCs w:val="24"/>
              </w:rPr>
              <w:t>art Date or each anniversary thereof;</w:t>
            </w:r>
          </w:p>
        </w:tc>
      </w:tr>
      <w:tr w:rsidR="00D90956" w14:paraId="27F42C63" w14:textId="77777777">
        <w:tc>
          <w:tcPr>
            <w:tcW w:w="2691" w:type="dxa"/>
          </w:tcPr>
          <w:p w14:paraId="55E980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79E381B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90956" w14:paraId="5D31E4BC" w14:textId="77777777">
        <w:tc>
          <w:tcPr>
            <w:tcW w:w="2691" w:type="dxa"/>
          </w:tcPr>
          <w:p w14:paraId="5D57A2D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060DDF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45CCC888" w14:textId="77777777">
        <w:tc>
          <w:tcPr>
            <w:tcW w:w="2691" w:type="dxa"/>
            <w:vAlign w:val="center"/>
          </w:tcPr>
          <w:p w14:paraId="5E20EE4A"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Service or</w:t>
            </w:r>
          </w:p>
          <w:p w14:paraId="30627F99"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Deliverable”</w:t>
            </w:r>
          </w:p>
          <w:p w14:paraId="4DC5EDF1" w14:textId="77777777" w:rsidR="00D90956" w:rsidRDefault="00D90956">
            <w:pPr>
              <w:spacing w:after="120"/>
              <w:rPr>
                <w:rFonts w:ascii="Arial" w:eastAsia="Arial" w:hAnsi="Arial" w:cs="Arial"/>
                <w:b/>
                <w:sz w:val="24"/>
                <w:szCs w:val="24"/>
              </w:rPr>
            </w:pPr>
          </w:p>
        </w:tc>
        <w:tc>
          <w:tcPr>
            <w:tcW w:w="7342" w:type="dxa"/>
            <w:vAlign w:val="center"/>
          </w:tcPr>
          <w:p w14:paraId="3D461CD4" w14:textId="77777777" w:rsidR="00D90956" w:rsidRDefault="00185F51">
            <w:pPr>
              <w:tabs>
                <w:tab w:val="left" w:pos="-179"/>
                <w:tab w:val="left" w:pos="142"/>
              </w:tabs>
              <w:spacing w:after="120"/>
              <w:ind w:left="142" w:right="242"/>
              <w:jc w:val="both"/>
              <w:rPr>
                <w:rFonts w:ascii="Arial" w:eastAsia="Arial" w:hAnsi="Arial" w:cs="Arial"/>
                <w:sz w:val="24"/>
                <w:szCs w:val="24"/>
              </w:rPr>
            </w:pPr>
            <w:r>
              <w:rPr>
                <w:rFonts w:ascii="Arial" w:eastAsia="Arial" w:hAnsi="Arial" w:cs="Arial"/>
                <w:sz w:val="24"/>
                <w:szCs w:val="24"/>
              </w:rPr>
              <w:t>the Services as defined in Framework Schedule 1 – Specification that all Suppliers must be capable of providing on this Framework.</w:t>
            </w:r>
          </w:p>
        </w:tc>
      </w:tr>
      <w:tr w:rsidR="00D90956" w14:paraId="41EB9398" w14:textId="77777777">
        <w:tc>
          <w:tcPr>
            <w:tcW w:w="2691" w:type="dxa"/>
          </w:tcPr>
          <w:p w14:paraId="5C35E9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1B41AF3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90956" w14:paraId="61E882D8"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89F40E"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“Core Terms Contract”</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8647BA7" w14:textId="60C40668"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 xml:space="preserve">Any Contract which is not </w:t>
            </w:r>
            <w:r w:rsidR="0025339C">
              <w:rPr>
                <w:rFonts w:ascii="Arial" w:eastAsia="Arial" w:hAnsi="Arial" w:cs="Arial"/>
                <w:sz w:val="24"/>
                <w:szCs w:val="24"/>
              </w:rPr>
              <w:t>a</w:t>
            </w:r>
            <w:r>
              <w:rPr>
                <w:rFonts w:ascii="Arial" w:eastAsia="Arial" w:hAnsi="Arial" w:cs="Arial"/>
                <w:sz w:val="24"/>
                <w:szCs w:val="24"/>
              </w:rPr>
              <w:t xml:space="preserve"> Call Off Contract entered into using </w:t>
            </w:r>
            <w:r>
              <w:rPr>
                <w:rFonts w:ascii="Arial" w:eastAsia="Arial" w:hAnsi="Arial" w:cs="Arial"/>
                <w:sz w:val="24"/>
                <w:szCs w:val="24"/>
              </w:rPr>
              <w:t>Annex B or C of the applicable Order Form. For the avoidance of doubt a Core Terms Call Off Contract shall be a Core Terms Contract;</w:t>
            </w:r>
          </w:p>
        </w:tc>
      </w:tr>
      <w:tr w:rsidR="00D90956" w14:paraId="229AA6E0" w14:textId="77777777">
        <w:tc>
          <w:tcPr>
            <w:tcW w:w="269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F075C1"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lastRenderedPageBreak/>
              <w:t>“Core Terms Call Off Contract”</w:t>
            </w:r>
          </w:p>
        </w:tc>
        <w:tc>
          <w:tcPr>
            <w:tcW w:w="7342" w:type="dxa"/>
            <w:tcBorders>
              <w:top w:val="nil"/>
              <w:left w:val="nil"/>
              <w:bottom w:val="single" w:sz="8" w:space="0" w:color="000000"/>
              <w:right w:val="single" w:sz="8" w:space="0" w:color="000000"/>
            </w:tcBorders>
            <w:tcMar>
              <w:top w:w="100" w:type="dxa"/>
              <w:left w:w="100" w:type="dxa"/>
              <w:bottom w:w="100" w:type="dxa"/>
              <w:right w:w="100" w:type="dxa"/>
            </w:tcMar>
          </w:tcPr>
          <w:p w14:paraId="36E24C6C" w14:textId="77777777"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A Call Off Contract entered into using Annex A to the applicable Order Form, and excludes Call Off Contracts entered into using Annex B or C of the applicable Order Form;</w:t>
            </w:r>
          </w:p>
        </w:tc>
      </w:tr>
      <w:tr w:rsidR="00D90956" w14:paraId="2BF3E911" w14:textId="77777777">
        <w:tc>
          <w:tcPr>
            <w:tcW w:w="2691" w:type="dxa"/>
            <w:vAlign w:val="center"/>
          </w:tcPr>
          <w:p w14:paraId="2200987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14:paraId="0BE61D2C"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w:t>
            </w:r>
            <w:r>
              <w:rPr>
                <w:rFonts w:ascii="Arial" w:eastAsia="Arial" w:hAnsi="Arial" w:cs="Arial"/>
                <w:color w:val="000000"/>
                <w:sz w:val="24"/>
                <w:szCs w:val="24"/>
              </w:rPr>
              <w:t>y fines or penalties) but excluding allowable indirect costs apportioned to facilities and administration in the provision of Supplier Personnel and accordingly included within limb (a) of the definition of “Costs”;</w:t>
            </w:r>
          </w:p>
          <w:p w14:paraId="15F9D1D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w:t>
            </w:r>
            <w:r>
              <w:rPr>
                <w:rFonts w:ascii="Arial" w:eastAsia="Arial" w:hAnsi="Arial" w:cs="Arial"/>
                <w:sz w:val="24"/>
                <w:szCs w:val="24"/>
              </w:rPr>
              <w:t>ork level in the form of a percentage uplift, and forms part of the price evaluation. At Further Competition the Framework rates are used as maximum rates, and bidders are invited to reduce the rates for each specific Further Competition.</w:t>
            </w:r>
          </w:p>
        </w:tc>
      </w:tr>
      <w:tr w:rsidR="00D90956" w14:paraId="0788CB1F" w14:textId="77777777">
        <w:tc>
          <w:tcPr>
            <w:tcW w:w="2691" w:type="dxa"/>
          </w:tcPr>
          <w:p w14:paraId="474101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“COSoP”</w:t>
            </w:r>
          </w:p>
        </w:tc>
        <w:tc>
          <w:tcPr>
            <w:tcW w:w="7342" w:type="dxa"/>
          </w:tcPr>
          <w:p w14:paraId="23DD9AC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D90956" w14:paraId="103B0A8F" w14:textId="77777777">
        <w:tc>
          <w:tcPr>
            <w:tcW w:w="2691" w:type="dxa"/>
          </w:tcPr>
          <w:p w14:paraId="25E528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6350625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1DDA60C8" w14:textId="77777777" w:rsidR="00D90956" w:rsidRDefault="00185F51">
            <w:pPr>
              <w:numPr>
                <w:ilvl w:val="1"/>
                <w:numId w:val="1"/>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DBF87B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17C62DA8"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28D2460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25D50C4E"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7945C1AF"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4243D01"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7D450E8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5D4B2F9A" w14:textId="77777777" w:rsidR="00D90956" w:rsidRDefault="00185F51">
            <w:pPr>
              <w:numPr>
                <w:ilvl w:val="2"/>
                <w:numId w:val="1"/>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286E09C7"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2079E12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costs incurred in respect of Supplier Assets which would be treated as capital costs according to generally accepted accounting principles within the UK, which shall include the cost to be charged in respect of Supplier Assets by the Supplier to the Buyer </w:t>
            </w:r>
            <w:r>
              <w:rPr>
                <w:rFonts w:ascii="Arial" w:eastAsia="Arial" w:hAnsi="Arial" w:cs="Arial"/>
                <w:color w:val="000000"/>
                <w:sz w:val="24"/>
                <w:szCs w:val="24"/>
              </w:rPr>
              <w:t>or (to the extent that risk and title in any Supplier Asset is not held by the Supplier) any cost actually incurred by the Supplier in respect of those Supplier Assets;</w:t>
            </w:r>
          </w:p>
          <w:p w14:paraId="7EC03291"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w:t>
            </w:r>
            <w:r>
              <w:rPr>
                <w:rFonts w:ascii="Arial" w:eastAsia="Arial" w:hAnsi="Arial" w:cs="Arial"/>
                <w:color w:val="000000"/>
                <w:sz w:val="24"/>
                <w:szCs w:val="24"/>
              </w:rPr>
              <w:t>ch costs are necessary and properly incurred by the Supplier in the provision of the Deliverables; and</w:t>
            </w:r>
          </w:p>
          <w:p w14:paraId="2E60DFD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5578C613" w14:textId="77777777" w:rsidR="00D90956" w:rsidRDefault="00185F51">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w:t>
            </w:r>
            <w:r>
              <w:rPr>
                <w:rFonts w:ascii="Arial" w:eastAsia="Arial" w:hAnsi="Arial" w:cs="Arial"/>
                <w:color w:val="000000"/>
                <w:sz w:val="24"/>
                <w:szCs w:val="24"/>
              </w:rPr>
              <w:t>ing:</w:t>
            </w:r>
          </w:p>
          <w:p w14:paraId="1553A7D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14:paraId="455B7E6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620D53AA"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44F929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14:paraId="6BB6E7DE"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2EA210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4B01698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D90956" w14:paraId="530371B8" w14:textId="77777777">
        <w:tc>
          <w:tcPr>
            <w:tcW w:w="2691" w:type="dxa"/>
          </w:tcPr>
          <w:p w14:paraId="4410DC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14:paraId="55EBD2D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D90956" w14:paraId="37B2BD7B" w14:textId="77777777">
        <w:tc>
          <w:tcPr>
            <w:tcW w:w="2691" w:type="dxa"/>
          </w:tcPr>
          <w:p w14:paraId="462E78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“CRM”</w:t>
            </w:r>
          </w:p>
        </w:tc>
        <w:tc>
          <w:tcPr>
            <w:tcW w:w="7342" w:type="dxa"/>
          </w:tcPr>
          <w:p w14:paraId="7FDF61AA" w14:textId="77777777" w:rsidR="00D90956" w:rsidRDefault="00185F51">
            <w:pPr>
              <w:tabs>
                <w:tab w:val="left" w:pos="284"/>
              </w:tabs>
              <w:ind w:left="284" w:right="242"/>
              <w:rPr>
                <w:rFonts w:ascii="Arial" w:eastAsia="Arial" w:hAnsi="Arial" w:cs="Arial"/>
                <w:sz w:val="24"/>
                <w:szCs w:val="24"/>
              </w:rPr>
            </w:pPr>
            <w:r>
              <w:rPr>
                <w:rFonts w:ascii="Arial" w:eastAsia="Arial" w:hAnsi="Arial" w:cs="Arial"/>
                <w:sz w:val="24"/>
                <w:szCs w:val="24"/>
              </w:rPr>
              <w:t>Customer Relationship Management;</w:t>
            </w:r>
          </w:p>
        </w:tc>
      </w:tr>
      <w:tr w:rsidR="00D90956" w14:paraId="5BD913D3" w14:textId="77777777">
        <w:tc>
          <w:tcPr>
            <w:tcW w:w="2691" w:type="dxa"/>
            <w:vAlign w:val="center"/>
          </w:tcPr>
          <w:p w14:paraId="5F1BE1F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14:paraId="4BB78E4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 xml:space="preserve">the government of the United Kingdom (including the Northern Ireland Assembly and Executive Committee, the Scottish Executive and the National Assembly for Wales), including, but not limited to, government ministers and government </w:t>
            </w:r>
            <w:r>
              <w:rPr>
                <w:rFonts w:ascii="Arial" w:eastAsia="Arial" w:hAnsi="Arial" w:cs="Arial"/>
                <w:sz w:val="24"/>
                <w:szCs w:val="24"/>
              </w:rPr>
              <w:lastRenderedPageBreak/>
              <w:t>departments and particula</w:t>
            </w:r>
            <w:r>
              <w:rPr>
                <w:rFonts w:ascii="Arial" w:eastAsia="Arial" w:hAnsi="Arial" w:cs="Arial"/>
                <w:sz w:val="24"/>
                <w:szCs w:val="24"/>
              </w:rPr>
              <w:t>r bodies, persons, commissions or agencies from time to time carrying out functions on its behalf;</w:t>
            </w:r>
          </w:p>
        </w:tc>
      </w:tr>
      <w:tr w:rsidR="00D90956" w14:paraId="4B969985" w14:textId="77777777">
        <w:tc>
          <w:tcPr>
            <w:tcW w:w="2691" w:type="dxa"/>
          </w:tcPr>
          <w:p w14:paraId="31DA7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25626A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90956" w14:paraId="388203C0" w14:textId="77777777">
        <w:tc>
          <w:tcPr>
            <w:tcW w:w="2691" w:type="dxa"/>
          </w:tcPr>
          <w:p w14:paraId="6B8C5E3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14:paraId="0306D766" w14:textId="77777777" w:rsidR="00D90956" w:rsidRDefault="00185F51">
            <w:pPr>
              <w:tabs>
                <w:tab w:val="left" w:pos="284"/>
              </w:tabs>
              <w:ind w:left="284" w:right="242"/>
              <w:rPr>
                <w:rFonts w:ascii="Arial" w:eastAsia="Arial" w:hAnsi="Arial" w:cs="Arial"/>
                <w:sz w:val="24"/>
                <w:szCs w:val="24"/>
              </w:rPr>
            </w:pPr>
            <w:r>
              <w:rPr>
                <w:rFonts w:ascii="Arial" w:eastAsia="Arial" w:hAnsi="Arial" w:cs="Arial"/>
                <w:color w:val="202124"/>
                <w:sz w:val="24"/>
                <w:szCs w:val="24"/>
                <w:highlight w:val="white"/>
              </w:rPr>
              <w:t>the application of advanced analysis to discover deep insights, make predictions and generate recommendations;</w:t>
            </w:r>
          </w:p>
        </w:tc>
      </w:tr>
      <w:tr w:rsidR="00D90956" w14:paraId="74F1B405" w14:textId="77777777">
        <w:tc>
          <w:tcPr>
            <w:tcW w:w="2691" w:type="dxa"/>
          </w:tcPr>
          <w:p w14:paraId="6ED6B0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3D33528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90956" w14:paraId="02CFB1DA" w14:textId="77777777">
        <w:tc>
          <w:tcPr>
            <w:tcW w:w="2691" w:type="dxa"/>
          </w:tcPr>
          <w:p w14:paraId="77941F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0892CD0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w:t>
            </w:r>
            <w:r>
              <w:rPr>
                <w:rFonts w:ascii="Arial" w:eastAsia="Arial" w:hAnsi="Arial" w:cs="Arial"/>
                <w:color w:val="000000"/>
                <w:sz w:val="24"/>
                <w:szCs w:val="24"/>
              </w:rPr>
              <w:t>onal Data and privacy; (iii) all applicable Law about the Processing of Personal Data and privacy;</w:t>
            </w:r>
          </w:p>
        </w:tc>
      </w:tr>
      <w:tr w:rsidR="00D90956" w14:paraId="0E2429EA" w14:textId="77777777">
        <w:tc>
          <w:tcPr>
            <w:tcW w:w="2691" w:type="dxa"/>
          </w:tcPr>
          <w:p w14:paraId="74E6AF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0F2D00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90956" w14:paraId="5A5FC157" w14:textId="77777777">
        <w:tc>
          <w:tcPr>
            <w:tcW w:w="2691" w:type="dxa"/>
          </w:tcPr>
          <w:p w14:paraId="1C68A9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7637EB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6C99A9E5" w14:textId="77777777">
        <w:tc>
          <w:tcPr>
            <w:tcW w:w="2691" w:type="dxa"/>
          </w:tcPr>
          <w:p w14:paraId="26891A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14:paraId="74D6B98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D90956" w14:paraId="60E65F5F" w14:textId="77777777">
        <w:tc>
          <w:tcPr>
            <w:tcW w:w="2691" w:type="dxa"/>
          </w:tcPr>
          <w:p w14:paraId="5E1795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9C68B9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06F94F3C" w14:textId="77777777">
        <w:tc>
          <w:tcPr>
            <w:tcW w:w="2691" w:type="dxa"/>
          </w:tcPr>
          <w:p w14:paraId="00E5A3D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04CB514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90956" w14:paraId="13F5E1D7" w14:textId="77777777">
        <w:tc>
          <w:tcPr>
            <w:tcW w:w="2691" w:type="dxa"/>
          </w:tcPr>
          <w:p w14:paraId="25617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14:paraId="26688CFF" w14:textId="77777777" w:rsidR="00D90956" w:rsidRDefault="00185F51">
            <w:pPr>
              <w:tabs>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D90956" w14:paraId="26F3AD31" w14:textId="77777777">
        <w:tc>
          <w:tcPr>
            <w:tcW w:w="2691" w:type="dxa"/>
          </w:tcPr>
          <w:p w14:paraId="5AE5A8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14:paraId="37788E31" w14:textId="77777777" w:rsidR="00D90956" w:rsidRDefault="00185F51">
            <w:pPr>
              <w:tabs>
                <w:tab w:val="left" w:pos="284"/>
              </w:tabs>
              <w:spacing w:before="240" w:after="240"/>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w:t>
            </w:r>
            <w:r>
              <w:rPr>
                <w:rFonts w:ascii="Arial" w:eastAsia="Arial" w:hAnsi="Arial" w:cs="Arial"/>
                <w:color w:val="000000"/>
                <w:sz w:val="24"/>
                <w:szCs w:val="24"/>
              </w:rPr>
              <w:t>to detail the findings and remedial action required to address any errors, inaccuracies or omissions identified in the “Data Validation Audit” where revisions to the Service data may, where agreed with the Buyer, necessitate revisions to the “Services” and</w:t>
            </w:r>
            <w:r>
              <w:rPr>
                <w:rFonts w:ascii="Arial" w:eastAsia="Arial" w:hAnsi="Arial" w:cs="Arial"/>
                <w:color w:val="000000"/>
                <w:sz w:val="24"/>
                <w:szCs w:val="24"/>
              </w:rPr>
              <w:t>/or “Charges” to ensure compliance with the Buyer’s statutory and/or insurance obligations;</w:t>
            </w:r>
          </w:p>
        </w:tc>
      </w:tr>
      <w:tr w:rsidR="00D90956" w14:paraId="3CD9AA3A" w14:textId="77777777">
        <w:tc>
          <w:tcPr>
            <w:tcW w:w="2691" w:type="dxa"/>
          </w:tcPr>
          <w:p w14:paraId="6D47F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“DBS”</w:t>
            </w:r>
          </w:p>
        </w:tc>
        <w:tc>
          <w:tcPr>
            <w:tcW w:w="7342" w:type="dxa"/>
          </w:tcPr>
          <w:p w14:paraId="7DE45D3B"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Disclosure and Barring Service;</w:t>
            </w:r>
          </w:p>
        </w:tc>
      </w:tr>
      <w:tr w:rsidR="00D90956" w14:paraId="2AB43AA1" w14:textId="77777777">
        <w:tc>
          <w:tcPr>
            <w:tcW w:w="2691" w:type="dxa"/>
          </w:tcPr>
          <w:p w14:paraId="05644E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7342" w:type="dxa"/>
          </w:tcPr>
          <w:p w14:paraId="7420D5B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90956" w14:paraId="0953E8BC" w14:textId="77777777">
        <w:tc>
          <w:tcPr>
            <w:tcW w:w="2691" w:type="dxa"/>
          </w:tcPr>
          <w:p w14:paraId="5F3A08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505C8B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D90956" w14:paraId="16ACF1E6" w14:textId="77777777">
        <w:tc>
          <w:tcPr>
            <w:tcW w:w="2691" w:type="dxa"/>
          </w:tcPr>
          <w:p w14:paraId="73142E4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6840BD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D90956" w14:paraId="20DB3C60" w14:textId="77777777">
        <w:tc>
          <w:tcPr>
            <w:tcW w:w="2691" w:type="dxa"/>
          </w:tcPr>
          <w:p w14:paraId="03C8D3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4A790C5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D90956" w14:paraId="5FC3B083" w14:textId="77777777">
        <w:tc>
          <w:tcPr>
            <w:tcW w:w="2691" w:type="dxa"/>
          </w:tcPr>
          <w:p w14:paraId="15A7EF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669791D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90956" w14:paraId="1CB0141F" w14:textId="77777777">
        <w:tc>
          <w:tcPr>
            <w:tcW w:w="2691" w:type="dxa"/>
          </w:tcPr>
          <w:p w14:paraId="71577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4408B26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w:t>
            </w:r>
            <w:r>
              <w:rPr>
                <w:rFonts w:ascii="Arial" w:eastAsia="Arial" w:hAnsi="Arial" w:cs="Arial"/>
                <w:color w:val="000000"/>
                <w:sz w:val="24"/>
                <w:szCs w:val="24"/>
              </w:rPr>
              <w:t>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90956" w14:paraId="5D56900D" w14:textId="77777777">
        <w:tc>
          <w:tcPr>
            <w:tcW w:w="2691" w:type="dxa"/>
            <w:vAlign w:val="center"/>
          </w:tcPr>
          <w:p w14:paraId="2A00BDC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“Direct Award”</w:t>
            </w:r>
          </w:p>
        </w:tc>
        <w:tc>
          <w:tcPr>
            <w:tcW w:w="7342" w:type="dxa"/>
            <w:vAlign w:val="center"/>
          </w:tcPr>
          <w:p w14:paraId="797D774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Supplier</w:t>
            </w:r>
            <w:r>
              <w:rPr>
                <w:rFonts w:ascii="Arial" w:eastAsia="Arial" w:hAnsi="Arial" w:cs="Arial"/>
                <w:color w:val="000000"/>
                <w:sz w:val="24"/>
                <w:szCs w:val="24"/>
              </w:rPr>
              <w:t xml:space="preserve"> without the need for a Further Competition as per the process detailed in Framework Schedule 7</w:t>
            </w:r>
          </w:p>
        </w:tc>
      </w:tr>
      <w:tr w:rsidR="00D90956" w14:paraId="4D33F180" w14:textId="77777777">
        <w:tc>
          <w:tcPr>
            <w:tcW w:w="2691" w:type="dxa"/>
            <w:vAlign w:val="center"/>
          </w:tcPr>
          <w:p w14:paraId="5CE11C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14:paraId="431D117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D90956" w14:paraId="463631F1" w14:textId="77777777">
        <w:tc>
          <w:tcPr>
            <w:tcW w:w="2691" w:type="dxa"/>
          </w:tcPr>
          <w:p w14:paraId="5CC48B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7B1DEDB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w:t>
            </w:r>
            <w:r>
              <w:rPr>
                <w:rFonts w:ascii="Arial" w:eastAsia="Arial" w:hAnsi="Arial" w:cs="Arial"/>
                <w:color w:val="000000"/>
                <w:sz w:val="24"/>
                <w:szCs w:val="24"/>
              </w:rPr>
              <w:t>al);</w:t>
            </w:r>
          </w:p>
        </w:tc>
      </w:tr>
      <w:tr w:rsidR="00D90956" w14:paraId="63C7A5F5" w14:textId="77777777">
        <w:tc>
          <w:tcPr>
            <w:tcW w:w="2691" w:type="dxa"/>
          </w:tcPr>
          <w:p w14:paraId="2826D31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342" w:type="dxa"/>
          </w:tcPr>
          <w:p w14:paraId="747C68A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w:t>
            </w:r>
            <w:r>
              <w:rPr>
                <w:rFonts w:ascii="Arial" w:eastAsia="Arial" w:hAnsi="Arial" w:cs="Arial"/>
                <w:sz w:val="24"/>
                <w:szCs w:val="24"/>
              </w:rPr>
              <w:t xml:space="preserve"> whether the alleged liability shall arise under English law or under the law of some other country and regardless of whether a particular cause of action may successfully be brought in the English courts;</w:t>
            </w:r>
          </w:p>
        </w:tc>
      </w:tr>
      <w:tr w:rsidR="00D90956" w14:paraId="3E02D923" w14:textId="77777777">
        <w:tc>
          <w:tcPr>
            <w:tcW w:w="2691" w:type="dxa"/>
          </w:tcPr>
          <w:p w14:paraId="7D3699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32A6A48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90956" w14:paraId="58EA89C9" w14:textId="77777777">
        <w:tc>
          <w:tcPr>
            <w:tcW w:w="2691" w:type="dxa"/>
          </w:tcPr>
          <w:p w14:paraId="0E50E4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05A61E8"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14:paraId="366ADA9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14:paraId="3C50E6D7"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6B495F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D90956" w14:paraId="7BD55D30" w14:textId="77777777">
        <w:tc>
          <w:tcPr>
            <w:tcW w:w="2691" w:type="dxa"/>
          </w:tcPr>
          <w:p w14:paraId="38B4C8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A79C05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D90956" w14:paraId="5FFB035B" w14:textId="77777777">
        <w:tc>
          <w:tcPr>
            <w:tcW w:w="2691" w:type="dxa"/>
          </w:tcPr>
          <w:p w14:paraId="4364F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145D726A"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90956" w14:paraId="2F2F34A6" w14:textId="77777777">
        <w:tc>
          <w:tcPr>
            <w:tcW w:w="2691" w:type="dxa"/>
          </w:tcPr>
          <w:p w14:paraId="3BBC92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4C4932D0"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90956" w14:paraId="6BE48ECE" w14:textId="77777777">
        <w:tc>
          <w:tcPr>
            <w:tcW w:w="2691" w:type="dxa"/>
            <w:vAlign w:val="center"/>
          </w:tcPr>
          <w:p w14:paraId="41038B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14:paraId="3FF9C417"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D90956" w14:paraId="7A24C3FC" w14:textId="77777777">
        <w:tc>
          <w:tcPr>
            <w:tcW w:w="2691" w:type="dxa"/>
          </w:tcPr>
          <w:p w14:paraId="3A4756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5DD2C6E2"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90956" w14:paraId="16B84291" w14:textId="77777777">
        <w:tc>
          <w:tcPr>
            <w:tcW w:w="2691" w:type="dxa"/>
          </w:tcPr>
          <w:p w14:paraId="6F7F8C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"EIR"</w:t>
            </w:r>
          </w:p>
        </w:tc>
        <w:tc>
          <w:tcPr>
            <w:tcW w:w="7342" w:type="dxa"/>
          </w:tcPr>
          <w:p w14:paraId="0B38A25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90956" w14:paraId="77DE3249" w14:textId="77777777">
        <w:tc>
          <w:tcPr>
            <w:tcW w:w="2691" w:type="dxa"/>
          </w:tcPr>
          <w:p w14:paraId="35DE642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2FB618B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D90956" w14:paraId="45180AF0" w14:textId="77777777">
        <w:tc>
          <w:tcPr>
            <w:tcW w:w="2691" w:type="dxa"/>
          </w:tcPr>
          <w:p w14:paraId="223C21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14:paraId="77E2710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D90956" w14:paraId="3D4C44D1" w14:textId="77777777">
        <w:tc>
          <w:tcPr>
            <w:tcW w:w="2691" w:type="dxa"/>
            <w:vAlign w:val="center"/>
          </w:tcPr>
          <w:p w14:paraId="466885E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"Employer Pension Contribution Cap"</w:t>
            </w:r>
          </w:p>
        </w:tc>
        <w:tc>
          <w:tcPr>
            <w:tcW w:w="7342" w:type="dxa"/>
            <w:vAlign w:val="center"/>
          </w:tcPr>
          <w:p w14:paraId="32E604A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6% maximum rate of employer pension contribution used in the ca</w:t>
            </w:r>
            <w:r>
              <w:rPr>
                <w:rFonts w:ascii="Arial" w:eastAsia="Arial" w:hAnsi="Arial" w:cs="Arial"/>
                <w:sz w:val="24"/>
                <w:szCs w:val="24"/>
              </w:rPr>
              <w:t>lculation of the TUPE Risk Premium;</w:t>
            </w:r>
          </w:p>
        </w:tc>
      </w:tr>
      <w:tr w:rsidR="00D90956" w14:paraId="7AF372E8" w14:textId="77777777">
        <w:tc>
          <w:tcPr>
            <w:tcW w:w="2691" w:type="dxa"/>
          </w:tcPr>
          <w:p w14:paraId="31F8E5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3496096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90956" w14:paraId="49AA0B75" w14:textId="77777777">
        <w:tc>
          <w:tcPr>
            <w:tcW w:w="2691" w:type="dxa"/>
          </w:tcPr>
          <w:p w14:paraId="688C1A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61EEFEA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28AD18C0"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14:paraId="139B58CA"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90956" w14:paraId="72D207E0" w14:textId="77777777">
        <w:tc>
          <w:tcPr>
            <w:tcW w:w="2691" w:type="dxa"/>
          </w:tcPr>
          <w:p w14:paraId="1B866B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0EDDEC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D90956" w14:paraId="11368462" w14:textId="77777777">
        <w:tc>
          <w:tcPr>
            <w:tcW w:w="2691" w:type="dxa"/>
          </w:tcPr>
          <w:p w14:paraId="7E851E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53E8489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51EA1BE2" w14:textId="77777777">
        <w:tc>
          <w:tcPr>
            <w:tcW w:w="2691" w:type="dxa"/>
          </w:tcPr>
          <w:p w14:paraId="738152C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“ERP”</w:t>
            </w:r>
          </w:p>
        </w:tc>
        <w:tc>
          <w:tcPr>
            <w:tcW w:w="7342" w:type="dxa"/>
          </w:tcPr>
          <w:p w14:paraId="4352934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Enterprise Resource Planning;</w:t>
            </w:r>
          </w:p>
        </w:tc>
      </w:tr>
      <w:tr w:rsidR="00D90956" w14:paraId="569AD7C3" w14:textId="77777777">
        <w:trPr>
          <w:trHeight w:val="1350"/>
        </w:trPr>
        <w:tc>
          <w:tcPr>
            <w:tcW w:w="2691" w:type="dxa"/>
          </w:tcPr>
          <w:p w14:paraId="1D3C9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37EBE7E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02BAD0E" w14:textId="77777777" w:rsidR="00D90956" w:rsidRDefault="00D90956">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14:paraId="0D54406A"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D90956" w14:paraId="637262C3" w14:textId="77777777">
        <w:trPr>
          <w:trHeight w:val="1170"/>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437DD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“Estimated Annual Contract Cost”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E3B4929"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the estimated annual value of the Call Off Contract (including Billable Works) provided by the Buyer, used in order to determine the appropriate Lot group.</w:t>
            </w:r>
          </w:p>
        </w:tc>
      </w:tr>
      <w:tr w:rsidR="00D90956" w14:paraId="220F4197"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43CD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623DC797" w14:textId="5E90B1A6"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 xml:space="preserve">for the purposes of calculating each Party’s annual liability under clause </w:t>
            </w:r>
            <w:r w:rsidR="0025339C">
              <w:rPr>
                <w:rFonts w:ascii="Arial" w:eastAsia="Arial" w:hAnsi="Arial" w:cs="Arial"/>
                <w:color w:val="000000"/>
                <w:sz w:val="24"/>
                <w:szCs w:val="24"/>
              </w:rPr>
              <w:t>12.2:</w:t>
            </w:r>
          </w:p>
          <w:p w14:paraId="771ED50D"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74E054D2"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w:t>
            </w:r>
            <w:r>
              <w:rPr>
                <w:rFonts w:ascii="Arial" w:eastAsia="Arial" w:hAnsi="Arial" w:cs="Arial"/>
                <w:color w:val="000000"/>
                <w:sz w:val="24"/>
                <w:szCs w:val="24"/>
              </w:rPr>
              <w:t>tract Year; or</w:t>
            </w:r>
          </w:p>
          <w:p w14:paraId="5D22FB4B"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D90956" w14:paraId="7579FDDC"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E54136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7A00B5" w14:textId="358AC702"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7" w:name="_heading=h.1t3h5sf" w:colFirst="0" w:colLast="0"/>
            <w:bookmarkEnd w:id="7"/>
            <w:r>
              <w:rPr>
                <w:rFonts w:ascii="Arial" w:eastAsia="Arial" w:hAnsi="Arial" w:cs="Arial"/>
                <w:sz w:val="24"/>
                <w:szCs w:val="24"/>
              </w:rPr>
              <w:t xml:space="preserve">a method of preventing information from being shared or communicated to avoid conflicts of interests within the Supplier’s organisation in line with Core Terms 32.1 </w:t>
            </w:r>
            <w:r w:rsidR="0025339C">
              <w:rPr>
                <w:rFonts w:ascii="Arial" w:eastAsia="Arial" w:hAnsi="Arial" w:cs="Arial"/>
                <w:sz w:val="24"/>
                <w:szCs w:val="24"/>
              </w:rPr>
              <w:t>and as</w:t>
            </w:r>
            <w:r>
              <w:rPr>
                <w:rFonts w:ascii="Arial" w:eastAsia="Arial" w:hAnsi="Arial" w:cs="Arial"/>
                <w:sz w:val="24"/>
                <w:szCs w:val="24"/>
              </w:rPr>
              <w:t xml:space="preserve"> referenced within Call-Off Schedule 25 – Billable Works and Projects;</w:t>
            </w:r>
          </w:p>
        </w:tc>
      </w:tr>
      <w:tr w:rsidR="00D90956" w14:paraId="00D69700"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40CE6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F4510F"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D90956" w14:paraId="79BF93B9"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6B99B7"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“Execution Document”</w:t>
            </w:r>
          </w:p>
        </w:tc>
        <w:tc>
          <w:tcPr>
            <w:tcW w:w="73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1F4DC99" w14:textId="77777777" w:rsidR="00D90956" w:rsidRDefault="00185F51">
            <w:pPr>
              <w:tabs>
                <w:tab w:val="left" w:pos="-179"/>
              </w:tabs>
              <w:spacing w:after="120"/>
              <w:ind w:left="160"/>
              <w:jc w:val="both"/>
              <w:rPr>
                <w:rFonts w:ascii="Arial" w:eastAsia="Arial" w:hAnsi="Arial" w:cs="Arial"/>
                <w:sz w:val="24"/>
                <w:szCs w:val="24"/>
              </w:rPr>
            </w:pPr>
            <w:r>
              <w:rPr>
                <w:rFonts w:ascii="Arial" w:eastAsia="Arial" w:hAnsi="Arial" w:cs="Arial"/>
                <w:sz w:val="24"/>
                <w:szCs w:val="24"/>
              </w:rPr>
              <w:t>means for a Non-Core Terms Call Off Contract, the document used to execute the Call Off Contract as specified in the Order Form;</w:t>
            </w:r>
          </w:p>
        </w:tc>
      </w:tr>
      <w:tr w:rsidR="00D90956" w14:paraId="6E7B2715"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931E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80A30FF"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7A0676CF" w14:textId="77777777" w:rsidR="00D90956" w:rsidRDefault="00185F51">
            <w:pPr>
              <w:pBdr>
                <w:top w:val="nil"/>
                <w:left w:val="nil"/>
                <w:bottom w:val="nil"/>
                <w:right w:val="nil"/>
                <w:between w:val="nil"/>
              </w:pBdr>
              <w:tabs>
                <w:tab w:val="left" w:pos="-179"/>
                <w:tab w:val="left" w:pos="-9"/>
              </w:tabs>
              <w:spacing w:after="120"/>
              <w:ind w:left="174" w:right="152"/>
              <w:jc w:val="both"/>
              <w:rPr>
                <w:rFonts w:ascii="Arial" w:eastAsia="Arial" w:hAnsi="Arial" w:cs="Arial"/>
                <w:sz w:val="24"/>
                <w:szCs w:val="24"/>
              </w:rPr>
            </w:pPr>
            <w:r>
              <w:rPr>
                <w:rFonts w:ascii="Arial" w:eastAsia="Arial" w:hAnsi="Arial" w:cs="Arial"/>
                <w:color w:val="000000"/>
                <w:sz w:val="24"/>
                <w:szCs w:val="24"/>
              </w:rPr>
              <w:t>eligible to use the Framework Contract; 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14:paraId="6508CAAC"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Regulations;</w:t>
            </w:r>
          </w:p>
          <w:p w14:paraId="1D5422D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14:paraId="3FC983B2"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Utilities Contracts Regulations 2016 (SI 2</w:t>
            </w:r>
            <w:r>
              <w:rPr>
                <w:rFonts w:ascii="Arial" w:eastAsia="Arial" w:hAnsi="Arial" w:cs="Arial"/>
                <w:color w:val="000000"/>
                <w:sz w:val="24"/>
                <w:szCs w:val="24"/>
              </w:rPr>
              <w:t>016/274);</w:t>
            </w:r>
          </w:p>
          <w:p w14:paraId="30CE2B97"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14:paraId="706B173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Remedies Directive (2007/66/EC);</w:t>
            </w:r>
          </w:p>
          <w:p w14:paraId="5766B79A"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14:paraId="1A9E7D5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lastRenderedPageBreak/>
              <w:t>Directive 2014/24/EU of the European Parliament and Council;</w:t>
            </w:r>
          </w:p>
          <w:p w14:paraId="4D3A554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w:t>
            </w:r>
            <w:r>
              <w:rPr>
                <w:rFonts w:ascii="Arial" w:eastAsia="Arial" w:hAnsi="Arial" w:cs="Arial"/>
                <w:color w:val="000000"/>
                <w:sz w:val="24"/>
                <w:szCs w:val="24"/>
              </w:rPr>
              <w:t>14/25/EU of the European Parliament and Council; or</w:t>
            </w:r>
          </w:p>
          <w:p w14:paraId="51E58DBB"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D90956" w14:paraId="53141E11"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973C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6082F87"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90956" w14:paraId="7BF38873" w14:textId="77777777">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D24B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FAF87A5"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w:t>
            </w:r>
            <w:r>
              <w:rPr>
                <w:rFonts w:ascii="Arial" w:eastAsia="Arial" w:hAnsi="Arial" w:cs="Arial"/>
                <w:color w:val="000000"/>
                <w:sz w:val="24"/>
                <w:szCs w:val="24"/>
              </w:rPr>
              <w:t>ith any legal requirements applicable to that Exempt Buyer;</w:t>
            </w:r>
          </w:p>
        </w:tc>
      </w:tr>
    </w:tbl>
    <w:p w14:paraId="48C696DE"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D90956" w14:paraId="1CE0B405" w14:textId="77777777">
        <w:tc>
          <w:tcPr>
            <w:tcW w:w="2694" w:type="dxa"/>
          </w:tcPr>
          <w:p w14:paraId="05969C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371" w:type="dxa"/>
          </w:tcPr>
          <w:p w14:paraId="7DFE391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90956" w14:paraId="2CF30A9F" w14:textId="77777777">
        <w:tc>
          <w:tcPr>
            <w:tcW w:w="2694" w:type="dxa"/>
          </w:tcPr>
          <w:p w14:paraId="7366F21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"Existing Service"</w:t>
            </w:r>
          </w:p>
        </w:tc>
        <w:tc>
          <w:tcPr>
            <w:tcW w:w="7371" w:type="dxa"/>
          </w:tcPr>
          <w:p w14:paraId="4F633B9E" w14:textId="77777777" w:rsidR="00D90956" w:rsidRDefault="00185F51">
            <w:pPr>
              <w:tabs>
                <w:tab w:val="left" w:pos="284"/>
              </w:tabs>
              <w:ind w:left="284" w:right="141"/>
              <w:rPr>
                <w:rFonts w:ascii="Arial" w:eastAsia="Arial" w:hAnsi="Arial" w:cs="Arial"/>
                <w:sz w:val="24"/>
                <w:szCs w:val="24"/>
              </w:rPr>
            </w:pPr>
            <w:r>
              <w:rPr>
                <w:rFonts w:ascii="Arial" w:eastAsia="Arial" w:hAnsi="Arial" w:cs="Arial"/>
                <w:sz w:val="24"/>
                <w:szCs w:val="24"/>
              </w:rPr>
              <w:t>a service that is already being provided either in-house or outsourced;</w:t>
            </w:r>
          </w:p>
        </w:tc>
      </w:tr>
      <w:tr w:rsidR="00D90956" w14:paraId="58A7E9F2" w14:textId="77777777">
        <w:tc>
          <w:tcPr>
            <w:tcW w:w="2694" w:type="dxa"/>
          </w:tcPr>
          <w:p w14:paraId="02EB30A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14:paraId="13B66E0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90956" w14:paraId="05CCCAA7" w14:textId="77777777">
        <w:tc>
          <w:tcPr>
            <w:tcW w:w="2694" w:type="dxa"/>
          </w:tcPr>
          <w:p w14:paraId="3CC6CC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14:paraId="31AE4654" w14:textId="77777777" w:rsidR="00D90956" w:rsidRDefault="00185F51">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90956" w14:paraId="267F460D" w14:textId="77777777">
        <w:tc>
          <w:tcPr>
            <w:tcW w:w="2694" w:type="dxa"/>
          </w:tcPr>
          <w:p w14:paraId="1C871C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14:paraId="0666881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D90956" w14:paraId="48744696" w14:textId="77777777">
        <w:tc>
          <w:tcPr>
            <w:tcW w:w="2694" w:type="dxa"/>
          </w:tcPr>
          <w:p w14:paraId="7BAF31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14:paraId="0B1BE6D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D90956" w14:paraId="1DE7C9DD" w14:textId="77777777">
        <w:tc>
          <w:tcPr>
            <w:tcW w:w="2694" w:type="dxa"/>
          </w:tcPr>
          <w:p w14:paraId="2FC4B8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71" w:type="dxa"/>
          </w:tcPr>
          <w:p w14:paraId="28F8B8B8"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14:paraId="68D32E4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w:t>
            </w:r>
            <w:r>
              <w:rPr>
                <w:rFonts w:ascii="Arial" w:eastAsia="Arial" w:hAnsi="Arial" w:cs="Arial"/>
                <w:color w:val="000000"/>
                <w:sz w:val="24"/>
                <w:szCs w:val="24"/>
              </w:rPr>
              <w:t>r public announcement, in each case about a material deterioration in its financial position or prospects;</w:t>
            </w:r>
          </w:p>
          <w:p w14:paraId="08A345EB"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there being a public investigation into improper financial accounting and reporting, suspected fraud or any other impropriety of the Supplier, any Gu</w:t>
            </w:r>
            <w:r>
              <w:rPr>
                <w:rFonts w:ascii="Arial" w:eastAsia="Arial" w:hAnsi="Arial" w:cs="Arial"/>
                <w:color w:val="000000"/>
                <w:sz w:val="24"/>
                <w:szCs w:val="24"/>
              </w:rPr>
              <w:t>arantor or any Key Subcontractor;</w:t>
            </w:r>
          </w:p>
          <w:p w14:paraId="7ABDFFF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14:paraId="66119E64"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w:t>
            </w:r>
            <w:r>
              <w:rPr>
                <w:rFonts w:ascii="Arial" w:eastAsia="Arial" w:hAnsi="Arial" w:cs="Arial"/>
                <w:color w:val="000000"/>
                <w:sz w:val="24"/>
                <w:szCs w:val="24"/>
              </w:rPr>
              <w:t>nder a specified invoice and not subject to a genuine dispute; or</w:t>
            </w:r>
          </w:p>
          <w:p w14:paraId="4CF63F50"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(i) commencement of any litigation with respect to financial indebtedness greater than £5m or obligat</w:t>
            </w:r>
            <w:r>
              <w:rPr>
                <w:rFonts w:ascii="Arial" w:eastAsia="Arial" w:hAnsi="Arial" w:cs="Arial"/>
                <w:color w:val="000000"/>
                <w:sz w:val="24"/>
                <w:szCs w:val="24"/>
              </w:rPr>
              <w:t xml:space="preserve">ions under a service contract with a total contract value greater than £5m; ii) non-payment of any financial indebtedness; iii) any financial indebtedness becoming due as a result of an event of default; iv) the cancellation or suspension of any financial </w:t>
            </w:r>
            <w:r>
              <w:rPr>
                <w:rFonts w:ascii="Arial" w:eastAsia="Arial" w:hAnsi="Arial" w:cs="Arial"/>
                <w:color w:val="000000"/>
                <w:sz w:val="24"/>
                <w:szCs w:val="24"/>
              </w:rPr>
              <w:t>indebtedness or v) an external auditor expressing a qualified opinion on, or including an emphasis of matter in, its opinion on the statutory accounts of that entity, in each case which the Relevant Authority reasonably believes (or would be likely reasona</w:t>
            </w:r>
            <w:r>
              <w:rPr>
                <w:rFonts w:ascii="Arial" w:eastAsia="Arial" w:hAnsi="Arial" w:cs="Arial"/>
                <w:color w:val="000000"/>
                <w:sz w:val="24"/>
                <w:szCs w:val="24"/>
              </w:rPr>
              <w:t>bly to believe) could directly impact on the continued provision of the Deliverables in accordance with the Contract;</w:t>
            </w:r>
          </w:p>
        </w:tc>
      </w:tr>
      <w:tr w:rsidR="00D90956" w14:paraId="36DB9720" w14:textId="77777777">
        <w:tc>
          <w:tcPr>
            <w:tcW w:w="2694" w:type="dxa"/>
          </w:tcPr>
          <w:p w14:paraId="6037E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371" w:type="dxa"/>
          </w:tcPr>
          <w:p w14:paraId="5BF428F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40D4104D"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228236E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78805EEE"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w:t>
            </w:r>
            <w:r>
              <w:rPr>
                <w:rFonts w:ascii="Arial" w:eastAsia="Arial" w:hAnsi="Arial" w:cs="Arial"/>
                <w:color w:val="000000"/>
                <w:sz w:val="24"/>
                <w:szCs w:val="24"/>
              </w:rPr>
              <w:t>ckage (Microsoft Excel or Microsoft Word), layout and format as the blank templates which have been issued by the Buyer to the Supplier on or before the Start Date for the purposes of the Contract; and</w:t>
            </w:r>
          </w:p>
          <w:p w14:paraId="6FC6C0B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D90956" w14:paraId="2AE4E830" w14:textId="77777777">
        <w:tc>
          <w:tcPr>
            <w:tcW w:w="2694" w:type="dxa"/>
          </w:tcPr>
          <w:p w14:paraId="214189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14:paraId="6A43176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a reasonably skilled and experienced member of the Supplier Staff who has specific responsibility for preparing, maintaining, facilitating access to, discussing and explaining the records and </w:t>
            </w:r>
            <w:r>
              <w:rPr>
                <w:rFonts w:ascii="Arial" w:eastAsia="Arial" w:hAnsi="Arial" w:cs="Arial"/>
                <w:color w:val="000000"/>
                <w:sz w:val="24"/>
                <w:szCs w:val="24"/>
              </w:rPr>
              <w:lastRenderedPageBreak/>
              <w:t>accounts of everything to do with the Contract (as referred to i</w:t>
            </w:r>
            <w:r>
              <w:rPr>
                <w:rFonts w:ascii="Arial" w:eastAsia="Arial" w:hAnsi="Arial" w:cs="Arial"/>
                <w:color w:val="000000"/>
                <w:sz w:val="24"/>
                <w:szCs w:val="24"/>
              </w:rPr>
              <w:t>n Clause 6), Financial Reports and Open Book Data;</w:t>
            </w:r>
          </w:p>
        </w:tc>
      </w:tr>
      <w:tr w:rsidR="00D90956" w14:paraId="3928A3F2" w14:textId="77777777">
        <w:tc>
          <w:tcPr>
            <w:tcW w:w="2694" w:type="dxa"/>
            <w:vAlign w:val="center"/>
          </w:tcPr>
          <w:p w14:paraId="2AAC4E4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“Fixed Fee Pricing Matrix”</w:t>
            </w:r>
          </w:p>
        </w:tc>
        <w:tc>
          <w:tcPr>
            <w:tcW w:w="7371" w:type="dxa"/>
            <w:vAlign w:val="center"/>
          </w:tcPr>
          <w:p w14:paraId="2F430522"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D90956" w14:paraId="38A6D0AC" w14:textId="77777777">
        <w:tc>
          <w:tcPr>
            <w:tcW w:w="2694" w:type="dxa"/>
            <w:vAlign w:val="center"/>
          </w:tcPr>
          <w:p w14:paraId="67265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"Fixed Fee TUPE Risk Premium"</w:t>
            </w:r>
          </w:p>
        </w:tc>
        <w:tc>
          <w:tcPr>
            <w:tcW w:w="7371" w:type="dxa"/>
            <w:vAlign w:val="center"/>
          </w:tcPr>
          <w:p w14:paraId="44CD7EF1" w14:textId="57833AF9"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 xml:space="preserve">the amount </w:t>
            </w:r>
            <w:r w:rsidR="0025339C">
              <w:rPr>
                <w:rFonts w:ascii="Arial" w:eastAsia="Arial" w:hAnsi="Arial" w:cs="Arial"/>
                <w:color w:val="000000"/>
                <w:sz w:val="24"/>
                <w:szCs w:val="24"/>
              </w:rPr>
              <w:t>payable on</w:t>
            </w:r>
            <w:r>
              <w:rPr>
                <w:rFonts w:ascii="Arial" w:eastAsia="Arial" w:hAnsi="Arial" w:cs="Arial"/>
                <w:color w:val="000000"/>
                <w:sz w:val="24"/>
                <w:szCs w:val="24"/>
              </w:rPr>
              <w:t xml:space="preserve"> an annual basis based on the difference between:</w:t>
            </w:r>
          </w:p>
          <w:p w14:paraId="1A8BAF02" w14:textId="4BEF46B6"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 xml:space="preserve">the costs to employ Transferring Former Supplier Employees </w:t>
            </w:r>
            <w:r w:rsidR="0025339C">
              <w:rPr>
                <w:rFonts w:ascii="Arial" w:eastAsia="Arial" w:hAnsi="Arial" w:cs="Arial"/>
                <w:color w:val="000000"/>
                <w:sz w:val="24"/>
                <w:szCs w:val="24"/>
              </w:rPr>
              <w:t>or where</w:t>
            </w:r>
            <w:r>
              <w:rPr>
                <w:rFonts w:ascii="Arial" w:eastAsia="Arial" w:hAnsi="Arial" w:cs="Arial"/>
                <w:color w:val="000000"/>
                <w:sz w:val="24"/>
                <w:szCs w:val="24"/>
              </w:rPr>
              <w:t xml:space="preserve"> the Former Supplier becomes the Supplier those Former Supplier employees providing the Services at the Commencement Date and/or Transferring Buyer Employees (as the case may be); and</w:t>
            </w:r>
          </w:p>
          <w:p w14:paraId="7BC58FD4" w14:textId="77777777"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14:paraId="652BA961"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14:paraId="570DE7B2"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14:paraId="4B7E825D"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14:paraId="4F5BF67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w:t>
            </w:r>
            <w:r>
              <w:rPr>
                <w:rFonts w:ascii="Arial" w:eastAsia="Arial" w:hAnsi="Arial" w:cs="Arial"/>
                <w:color w:val="000000"/>
                <w:sz w:val="24"/>
                <w:szCs w:val="24"/>
              </w:rPr>
              <w:t>nnual life insurance cost;</w:t>
            </w:r>
          </w:p>
          <w:p w14:paraId="1609F99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14:paraId="17B7B8BF"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14:paraId="7E372A09"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w:t>
            </w:r>
            <w:r>
              <w:rPr>
                <w:rFonts w:ascii="Arial" w:eastAsia="Arial" w:hAnsi="Arial" w:cs="Arial"/>
                <w:color w:val="000000"/>
                <w:sz w:val="24"/>
                <w:szCs w:val="24"/>
              </w:rPr>
              <w:t>n paragraph 2 of Call Off Schedule 28 (TUPE Surcharge);</w:t>
            </w:r>
          </w:p>
          <w:p w14:paraId="25549362" w14:textId="77777777" w:rsidR="00D90956" w:rsidRDefault="00D90956">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p>
        </w:tc>
      </w:tr>
      <w:tr w:rsidR="00D90956" w14:paraId="60065FE8" w14:textId="77777777">
        <w:tc>
          <w:tcPr>
            <w:tcW w:w="2694" w:type="dxa"/>
          </w:tcPr>
          <w:p w14:paraId="72A027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71" w:type="dxa"/>
          </w:tcPr>
          <w:p w14:paraId="051A60F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sz w:val="24"/>
                <w:szCs w:val="24"/>
              </w:rPr>
            </w:pPr>
            <w:r>
              <w:rPr>
                <w:rFonts w:ascii="Arial" w:eastAsia="Arial" w:hAnsi="Arial" w:cs="Arial"/>
                <w:sz w:val="24"/>
                <w:szCs w:val="24"/>
              </w:rPr>
              <w:t>also known as flextime or flexitime, refers to non-traditional working arrangements that take into account an individual's personal needs</w:t>
            </w:r>
          </w:p>
        </w:tc>
      </w:tr>
      <w:tr w:rsidR="00D90956" w14:paraId="771F6211" w14:textId="77777777">
        <w:tc>
          <w:tcPr>
            <w:tcW w:w="2694" w:type="dxa"/>
          </w:tcPr>
          <w:p w14:paraId="6F9A3D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14:paraId="0B31232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w:t>
            </w:r>
            <w:r>
              <w:rPr>
                <w:rFonts w:ascii="Arial" w:eastAsia="Arial" w:hAnsi="Arial" w:cs="Arial"/>
                <w:color w:val="000000"/>
                <w:sz w:val="24"/>
                <w:szCs w:val="24"/>
              </w:rPr>
              <w:t>ther with any guidance and/or codes of practice issued by the Information Commissioner or relevant Government department in relation to such legislation;</w:t>
            </w:r>
          </w:p>
        </w:tc>
      </w:tr>
      <w:tr w:rsidR="00D90956" w14:paraId="0CDAA6D9" w14:textId="77777777">
        <w:tc>
          <w:tcPr>
            <w:tcW w:w="2694" w:type="dxa"/>
          </w:tcPr>
          <w:p w14:paraId="0A0215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371" w:type="dxa"/>
          </w:tcPr>
          <w:p w14:paraId="0D006629"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w:t>
            </w:r>
            <w:r>
              <w:rPr>
                <w:rFonts w:ascii="Arial" w:eastAsia="Arial" w:hAnsi="Arial" w:cs="Arial"/>
                <w:color w:val="000000"/>
                <w:sz w:val="24"/>
                <w:szCs w:val="24"/>
              </w:rPr>
              <w:t>nce of its obligations under the Contract arising from acts, events, omissions, happenings or non-happenings beyond its reasonable control and which are not attributable to any wilful act, neglect or failure to take reasonable preventative action by that P</w:t>
            </w:r>
            <w:r>
              <w:rPr>
                <w:rFonts w:ascii="Arial" w:eastAsia="Arial" w:hAnsi="Arial" w:cs="Arial"/>
                <w:color w:val="000000"/>
                <w:sz w:val="24"/>
                <w:szCs w:val="24"/>
              </w:rPr>
              <w:t>arty, including:</w:t>
            </w:r>
          </w:p>
          <w:p w14:paraId="635BFA60"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5AA119A7"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14:paraId="71620145"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57D79998"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52C3ADB"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90956" w14:paraId="7CC2518E" w14:textId="77777777">
        <w:tc>
          <w:tcPr>
            <w:tcW w:w="2694" w:type="dxa"/>
          </w:tcPr>
          <w:p w14:paraId="3B3F8AA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71" w:type="dxa"/>
          </w:tcPr>
          <w:p w14:paraId="0FB70EE0"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90956" w14:paraId="1DB03875" w14:textId="77777777">
        <w:tc>
          <w:tcPr>
            <w:tcW w:w="2694" w:type="dxa"/>
            <w:vAlign w:val="center"/>
          </w:tcPr>
          <w:p w14:paraId="45BFBE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"Former Supplier"</w:t>
            </w:r>
          </w:p>
        </w:tc>
        <w:tc>
          <w:tcPr>
            <w:tcW w:w="7371" w:type="dxa"/>
            <w:vAlign w:val="center"/>
          </w:tcPr>
          <w:p w14:paraId="680B89B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 xml:space="preserve">a Supplier supplying the Deliverables to the Buyer before the Relevant </w:t>
            </w:r>
            <w:r>
              <w:rPr>
                <w:rFonts w:ascii="Arial" w:eastAsia="Arial" w:hAnsi="Arial" w:cs="Arial"/>
                <w:sz w:val="24"/>
                <w:szCs w:val="24"/>
              </w:rPr>
              <w:t>Transfer Date that are the same as or substantially similar to the Deliverables (or any part of the Deliverables) and shall include any Subcontractor of such Supplier (or any Subcontractor of any such Subcontractor);</w:t>
            </w:r>
          </w:p>
        </w:tc>
      </w:tr>
      <w:tr w:rsidR="00D90956" w14:paraId="1F15A31F" w14:textId="77777777">
        <w:tc>
          <w:tcPr>
            <w:tcW w:w="2694" w:type="dxa"/>
            <w:vAlign w:val="center"/>
          </w:tcPr>
          <w:p w14:paraId="0C72B2B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14:paraId="273E60D5" w14:textId="6FCAA091"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schedule of equipment showing its life expectancy, repair and replacement costs based on location, environmental conditions, level of maintenance and operational hours to inform a phased replacement programme. It is sometim</w:t>
            </w:r>
            <w:r>
              <w:rPr>
                <w:rFonts w:ascii="Arial" w:eastAsia="Arial" w:hAnsi="Arial" w:cs="Arial"/>
                <w:sz w:val="24"/>
                <w:szCs w:val="24"/>
              </w:rPr>
              <w:t xml:space="preserve">es known as a PPM survey and is a register identifying and </w:t>
            </w:r>
            <w:r w:rsidR="0025339C">
              <w:rPr>
                <w:rFonts w:ascii="Arial" w:eastAsia="Arial" w:hAnsi="Arial" w:cs="Arial"/>
                <w:sz w:val="24"/>
                <w:szCs w:val="24"/>
              </w:rPr>
              <w:t>prioritising short</w:t>
            </w:r>
            <w:r>
              <w:rPr>
                <w:rFonts w:ascii="Arial" w:eastAsia="Arial" w:hAnsi="Arial" w:cs="Arial"/>
                <w:sz w:val="24"/>
                <w:szCs w:val="24"/>
              </w:rPr>
              <w:t>, medium and long term maintenance requirements and renewal works activities over the course of the maintenance contract, including any hand back obligations where necessary;</w:t>
            </w:r>
          </w:p>
        </w:tc>
      </w:tr>
      <w:tr w:rsidR="00D90956" w14:paraId="4B7C7004" w14:textId="77777777">
        <w:tc>
          <w:tcPr>
            <w:tcW w:w="2694" w:type="dxa"/>
          </w:tcPr>
          <w:p w14:paraId="1C1FAAA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Award Form"</w:t>
            </w:r>
          </w:p>
        </w:tc>
        <w:tc>
          <w:tcPr>
            <w:tcW w:w="7371" w:type="dxa"/>
          </w:tcPr>
          <w:p w14:paraId="05E208E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90956" w14:paraId="4B00A68A" w14:textId="77777777">
        <w:tc>
          <w:tcPr>
            <w:tcW w:w="2694" w:type="dxa"/>
          </w:tcPr>
          <w:p w14:paraId="7FE22B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14:paraId="229BB87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90956" w14:paraId="4BBF8430" w14:textId="77777777">
        <w:tc>
          <w:tcPr>
            <w:tcW w:w="2694" w:type="dxa"/>
          </w:tcPr>
          <w:p w14:paraId="7301D8E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371" w:type="dxa"/>
          </w:tcPr>
          <w:p w14:paraId="28EA9E1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90956" w14:paraId="62506A14" w14:textId="77777777">
        <w:tc>
          <w:tcPr>
            <w:tcW w:w="2694" w:type="dxa"/>
          </w:tcPr>
          <w:p w14:paraId="0D3F09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14:paraId="4652674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90956" w14:paraId="0A89304C" w14:textId="77777777">
        <w:tc>
          <w:tcPr>
            <w:tcW w:w="2694" w:type="dxa"/>
          </w:tcPr>
          <w:p w14:paraId="42025A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14:paraId="6F682CBD"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90956" w14:paraId="59460514" w14:textId="77777777">
        <w:tc>
          <w:tcPr>
            <w:tcW w:w="2694" w:type="dxa"/>
            <w:vAlign w:val="center"/>
          </w:tcPr>
          <w:p w14:paraId="4C0E7A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14:paraId="6289BDDF"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D90956" w14:paraId="77744FCA" w14:textId="77777777">
        <w:tc>
          <w:tcPr>
            <w:tcW w:w="2694" w:type="dxa"/>
          </w:tcPr>
          <w:p w14:paraId="6E3DADC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14:paraId="4F40792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90956" w14:paraId="0D9D225D" w14:textId="77777777">
        <w:tc>
          <w:tcPr>
            <w:tcW w:w="2694" w:type="dxa"/>
          </w:tcPr>
          <w:p w14:paraId="4425DFEF" w14:textId="77777777" w:rsidR="00D90956" w:rsidRDefault="00185F51">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tcPr>
          <w:p w14:paraId="7C0CAEDC" w14:textId="77777777" w:rsidR="00D90956" w:rsidRDefault="00185F51">
            <w:pPr>
              <w:tabs>
                <w:tab w:val="left" w:pos="-179"/>
              </w:tabs>
              <w:spacing w:after="120"/>
              <w:ind w:left="284" w:right="282"/>
              <w:jc w:val="both"/>
              <w:rPr>
                <w:rFonts w:ascii="Arial" w:eastAsia="Arial" w:hAnsi="Arial" w:cs="Arial"/>
                <w:sz w:val="26"/>
                <w:szCs w:val="26"/>
              </w:rPr>
            </w:pPr>
            <w:bookmarkStart w:id="10" w:name="_heading=h.tyjcwt" w:colFirst="0" w:colLast="0"/>
            <w:bookmarkEnd w:id="10"/>
            <w:r>
              <w:rPr>
                <w:rFonts w:ascii="Arial" w:eastAsia="Arial" w:hAnsi="Arial" w:cs="Arial"/>
                <w:color w:val="222222"/>
                <w:highlight w:val="white"/>
              </w:rPr>
              <w:t>i</w:t>
            </w:r>
            <w:r>
              <w:rPr>
                <w:rFonts w:ascii="Arial" w:eastAsia="Arial" w:hAnsi="Arial" w:cs="Arial"/>
                <w:color w:val="222222"/>
                <w:sz w:val="24"/>
                <w:szCs w:val="24"/>
                <w:highlight w:val="white"/>
              </w:rPr>
              <w:t>s the form Suppliers will complete on a quarterly basis reporting on social value activities as set out in Table B in</w:t>
            </w:r>
            <w:r>
              <w:rPr>
                <w:rFonts w:ascii="Arial" w:eastAsia="Arial" w:hAnsi="Arial" w:cs="Arial"/>
                <w:color w:val="FF0000"/>
                <w:sz w:val="24"/>
                <w:szCs w:val="24"/>
                <w:highlight w:val="white"/>
              </w:rPr>
              <w:t> </w:t>
            </w:r>
            <w:r>
              <w:rPr>
                <w:rFonts w:ascii="Arial" w:eastAsia="Arial" w:hAnsi="Arial" w:cs="Arial"/>
                <w:color w:val="000000"/>
                <w:sz w:val="24"/>
                <w:szCs w:val="24"/>
                <w:highlight w:val="white"/>
              </w:rPr>
              <w:t>Joint Schedule 5 Corporate and Social Responsibility </w:t>
            </w:r>
          </w:p>
        </w:tc>
      </w:tr>
      <w:tr w:rsidR="00D90956" w14:paraId="4167C62C" w14:textId="77777777">
        <w:tc>
          <w:tcPr>
            <w:tcW w:w="2694" w:type="dxa"/>
          </w:tcPr>
          <w:p w14:paraId="603C07C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14:paraId="7A0232E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90956" w14:paraId="2F9FA0D3" w14:textId="77777777">
        <w:tc>
          <w:tcPr>
            <w:tcW w:w="2694" w:type="dxa"/>
          </w:tcPr>
          <w:p w14:paraId="452A62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14:paraId="060CAEE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90956" w14:paraId="55F4822A" w14:textId="77777777">
        <w:tc>
          <w:tcPr>
            <w:tcW w:w="2694" w:type="dxa"/>
          </w:tcPr>
          <w:p w14:paraId="19E999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14:paraId="31B7098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tender submitted by the Supplier to CCS and annexed to or referred to in Framework Schedule 2 (Framework Tender);</w:t>
            </w:r>
          </w:p>
        </w:tc>
      </w:tr>
      <w:tr w:rsidR="00D90956" w14:paraId="483C9540" w14:textId="77777777">
        <w:tc>
          <w:tcPr>
            <w:tcW w:w="2694" w:type="dxa"/>
          </w:tcPr>
          <w:p w14:paraId="2032591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14:paraId="46911E1A"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D90956" w14:paraId="05DD72A3" w14:textId="77777777">
        <w:tc>
          <w:tcPr>
            <w:tcW w:w="2694" w:type="dxa"/>
            <w:vAlign w:val="center"/>
          </w:tcPr>
          <w:p w14:paraId="57368E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14:paraId="6313B39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D90956" w14:paraId="279EDB53" w14:textId="77777777">
        <w:tc>
          <w:tcPr>
            <w:tcW w:w="2694" w:type="dxa"/>
            <w:vAlign w:val="center"/>
          </w:tcPr>
          <w:p w14:paraId="1B8395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14:paraId="2204A79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D90956" w14:paraId="07B91803" w14:textId="77777777">
        <w:tc>
          <w:tcPr>
            <w:tcW w:w="2694" w:type="dxa"/>
            <w:vAlign w:val="center"/>
          </w:tcPr>
          <w:p w14:paraId="1450B5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14:paraId="775D3699"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14:paraId="4E04739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There is a Buyer option to select the payment term – milestone payments, single payment on completion of mobilisation, payment during first 12 months of contract</w:t>
            </w:r>
            <w:r>
              <w:rPr>
                <w:rFonts w:ascii="Arial" w:eastAsia="Arial" w:hAnsi="Arial" w:cs="Arial"/>
                <w:color w:val="000000"/>
                <w:sz w:val="24"/>
                <w:szCs w:val="24"/>
              </w:rPr>
              <w:t xml:space="preserve">,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14:paraId="1BD2F97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D90956" w14:paraId="3D1CA5C9" w14:textId="77777777">
        <w:tc>
          <w:tcPr>
            <w:tcW w:w="2694" w:type="dxa"/>
            <w:vAlign w:val="center"/>
          </w:tcPr>
          <w:p w14:paraId="62DACD0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TUPE Risk Premium</w:t>
            </w:r>
            <w:r>
              <w:rPr>
                <w:rFonts w:ascii="Arial" w:eastAsia="Arial" w:hAnsi="Arial" w:cs="Arial"/>
                <w:sz w:val="24"/>
                <w:szCs w:val="24"/>
              </w:rPr>
              <w:t>"</w:t>
            </w:r>
          </w:p>
        </w:tc>
        <w:tc>
          <w:tcPr>
            <w:tcW w:w="7371" w:type="dxa"/>
            <w:vAlign w:val="center"/>
          </w:tcPr>
          <w:p w14:paraId="7EF8909B" w14:textId="77777777" w:rsidR="00D90956" w:rsidRDefault="00185F51">
            <w:pPr>
              <w:tabs>
                <w:tab w:val="left" w:pos="175"/>
                <w:tab w:val="left" w:pos="-179"/>
                <w:tab w:val="left" w:pos="-9"/>
              </w:tabs>
              <w:spacing w:after="120"/>
              <w:rPr>
                <w:rFonts w:ascii="Arial" w:eastAsia="Arial" w:hAnsi="Arial" w:cs="Arial"/>
                <w:sz w:val="24"/>
                <w:szCs w:val="24"/>
              </w:rPr>
            </w:pPr>
            <w:r>
              <w:rPr>
                <w:rFonts w:ascii="Arial" w:eastAsia="Arial" w:hAnsi="Arial" w:cs="Arial"/>
                <w:sz w:val="24"/>
                <w:szCs w:val="24"/>
              </w:rPr>
              <w:t xml:space="preserve">means the amount by which, on an annual basis the costs to employ Transferring Former Supplier Employees and, where the Former </w:t>
            </w:r>
            <w:r>
              <w:rPr>
                <w:rFonts w:ascii="Arial" w:eastAsia="Arial" w:hAnsi="Arial" w:cs="Arial"/>
                <w:sz w:val="24"/>
                <w:szCs w:val="24"/>
              </w:rPr>
              <w:lastRenderedPageBreak/>
              <w:t>Supplier becomes the Supplier, those Former Supplier employees providing the Services at the Start Date, exceed the equivalent co</w:t>
            </w:r>
            <w:r>
              <w:rPr>
                <w:rFonts w:ascii="Arial" w:eastAsia="Arial" w:hAnsi="Arial" w:cs="Arial"/>
                <w:sz w:val="24"/>
                <w:szCs w:val="24"/>
              </w:rPr>
              <w:t>sts to employ staff used by the Supplier at Further Competition,</w:t>
            </w:r>
          </w:p>
          <w:p w14:paraId="20D08F4F" w14:textId="77777777" w:rsidR="00D90956" w:rsidRDefault="00185F51">
            <w:pPr>
              <w:tabs>
                <w:tab w:val="left" w:pos="175"/>
                <w:tab w:val="left" w:pos="-179"/>
                <w:tab w:val="left" w:pos="-9"/>
              </w:tabs>
              <w:spacing w:after="120"/>
              <w:rPr>
                <w:rFonts w:ascii="Arial" w:eastAsia="Arial" w:hAnsi="Arial" w:cs="Arial"/>
                <w:sz w:val="24"/>
                <w:szCs w:val="24"/>
              </w:rPr>
            </w:pPr>
            <w:r>
              <w:rPr>
                <w:rFonts w:ascii="Arial" w:eastAsia="Arial" w:hAnsi="Arial" w:cs="Arial"/>
                <w:sz w:val="24"/>
                <w:szCs w:val="24"/>
              </w:rPr>
              <w:t xml:space="preserve">in respect of the following payments due under the employees' contracts of employment: </w:t>
            </w:r>
          </w:p>
          <w:p w14:paraId="7C168D0E" w14:textId="77777777" w:rsidR="00D90956" w:rsidRDefault="00185F51">
            <w:pPr>
              <w:tabs>
                <w:tab w:val="left" w:pos="136"/>
                <w:tab w:val="left" w:pos="175"/>
                <w:tab w:val="left" w:pos="-179"/>
                <w:tab w:val="left" w:pos="-9"/>
                <w:tab w:val="left" w:pos="320"/>
                <w:tab w:val="left" w:pos="496"/>
                <w:tab w:val="left" w:pos="676"/>
              </w:tabs>
              <w:spacing w:after="120"/>
              <w:rPr>
                <w:rFonts w:ascii="Arial" w:eastAsia="Arial" w:hAnsi="Arial" w:cs="Arial"/>
                <w:sz w:val="24"/>
                <w:szCs w:val="24"/>
              </w:rPr>
            </w:pPr>
            <w:r>
              <w:rPr>
                <w:rFonts w:ascii="Arial" w:eastAsia="Arial" w:hAnsi="Arial" w:cs="Arial"/>
                <w:sz w:val="24"/>
                <w:szCs w:val="24"/>
              </w:rPr>
              <w:t>i)  annual salary;</w:t>
            </w:r>
          </w:p>
          <w:p w14:paraId="082E5D9B"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ii) employer pension contributions;</w:t>
            </w:r>
          </w:p>
          <w:p w14:paraId="75C9BF2C"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iii) annual life insurance cost;</w:t>
            </w:r>
          </w:p>
          <w:p w14:paraId="57B80035"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iv) annual sick</w:t>
            </w:r>
            <w:r>
              <w:rPr>
                <w:rFonts w:ascii="Arial" w:eastAsia="Arial" w:hAnsi="Arial" w:cs="Arial"/>
                <w:sz w:val="24"/>
                <w:szCs w:val="24"/>
              </w:rPr>
              <w:t xml:space="preserve"> pay entitlement;</w:t>
            </w:r>
          </w:p>
          <w:p w14:paraId="48ECC998"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v) maternity/paternity costs</w:t>
            </w:r>
          </w:p>
          <w:p w14:paraId="3EFEABFA"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vi) allowances, shift premia, contractual bonuses; and</w:t>
            </w:r>
          </w:p>
          <w:p w14:paraId="0449AF04" w14:textId="4B7EC73F" w:rsidR="00D90956" w:rsidRDefault="00185F51" w:rsidP="0025339C">
            <w:pPr>
              <w:tabs>
                <w:tab w:val="left" w:pos="175"/>
                <w:tab w:val="left" w:pos="-179"/>
                <w:tab w:val="left" w:pos="-9"/>
                <w:tab w:val="left" w:pos="320"/>
              </w:tabs>
              <w:spacing w:after="120"/>
              <w:rPr>
                <w:rFonts w:ascii="Arial" w:eastAsia="Arial" w:hAnsi="Arial" w:cs="Arial"/>
                <w:strike/>
                <w:sz w:val="24"/>
                <w:szCs w:val="24"/>
              </w:rPr>
            </w:pPr>
            <w:r>
              <w:rPr>
                <w:rFonts w:ascii="Arial" w:eastAsia="Arial" w:hAnsi="Arial" w:cs="Arial"/>
                <w:sz w:val="24"/>
                <w:szCs w:val="24"/>
              </w:rPr>
              <w:t xml:space="preserve">vii) other contractual benefits or costs arising directly from the contract of employment of the Transferring Former Supplier Employee </w:t>
            </w:r>
          </w:p>
          <w:p w14:paraId="1D43623E" w14:textId="77777777" w:rsidR="00D90956" w:rsidRDefault="00D90956" w:rsidP="0025339C">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p>
        </w:tc>
      </w:tr>
      <w:tr w:rsidR="00D90956" w14:paraId="0555D8EA" w14:textId="77777777">
        <w:tc>
          <w:tcPr>
            <w:tcW w:w="2694" w:type="dxa"/>
          </w:tcPr>
          <w:p w14:paraId="0F10F1E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71" w:type="dxa"/>
          </w:tcPr>
          <w:p w14:paraId="181C00C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90956" w14:paraId="2374EF42" w14:textId="77777777">
        <w:tc>
          <w:tcPr>
            <w:tcW w:w="2694" w:type="dxa"/>
          </w:tcPr>
          <w:p w14:paraId="496F329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14:paraId="49F4C3C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4E07FCA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90956" w14:paraId="7E8D9BF7" w14:textId="77777777">
        <w:tc>
          <w:tcPr>
            <w:tcW w:w="2694" w:type="dxa"/>
          </w:tcPr>
          <w:p w14:paraId="580B87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14:paraId="4D4F842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90956" w14:paraId="2A570E78" w14:textId="77777777">
        <w:tc>
          <w:tcPr>
            <w:tcW w:w="2694" w:type="dxa"/>
          </w:tcPr>
          <w:p w14:paraId="19A53D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“General Ledger”</w:t>
            </w:r>
          </w:p>
        </w:tc>
        <w:tc>
          <w:tcPr>
            <w:tcW w:w="7371" w:type="dxa"/>
          </w:tcPr>
          <w:p w14:paraId="733DF11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D90956" w14:paraId="012D865C" w14:textId="77777777">
        <w:tc>
          <w:tcPr>
            <w:tcW w:w="2694" w:type="dxa"/>
            <w:vAlign w:val="center"/>
          </w:tcPr>
          <w:p w14:paraId="68D2E908"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14:paraId="7E42D72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highlight w:val="white"/>
              </w:rPr>
            </w:pPr>
            <w:r>
              <w:rPr>
                <w:rFonts w:ascii="Arial" w:eastAsia="Arial" w:hAnsi="Arial" w:cs="Arial"/>
                <w:sz w:val="24"/>
                <w:szCs w:val="24"/>
                <w:highlight w:val="white"/>
              </w:rPr>
              <w:t>means the geographical boundary coverage areas provided as part of the Framework Tender Response (as amended by paragraph 9 of Framework Schedule 4 (Framework Management)), us</w:t>
            </w:r>
            <w:r>
              <w:rPr>
                <w:rFonts w:ascii="Arial" w:eastAsia="Arial" w:hAnsi="Arial" w:cs="Arial"/>
                <w:sz w:val="24"/>
                <w:szCs w:val="24"/>
                <w:highlight w:val="white"/>
              </w:rPr>
              <w:t>ing the relevant boundary codes as stated on </w:t>
            </w:r>
            <w:hyperlink r:id="rId8">
              <w:r>
                <w:rPr>
                  <w:rFonts w:ascii="Arial" w:eastAsia="Arial" w:hAnsi="Arial" w:cs="Arial"/>
                  <w:color w:val="000000"/>
                  <w:sz w:val="24"/>
                  <w:szCs w:val="24"/>
                  <w:highlight w:val="white"/>
                  <w:u w:val="single"/>
                </w:rPr>
                <w:t>https://www.ons.gov.uk/methodology/geography/ukgeographies/eurostat</w:t>
              </w:r>
            </w:hyperlink>
          </w:p>
          <w:p w14:paraId="65441D8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noProof/>
                <w:sz w:val="24"/>
                <w:szCs w:val="24"/>
              </w:rPr>
              <w:drawing>
                <wp:inline distT="0" distB="0" distL="114300" distR="114300" wp14:anchorId="66BC7875" wp14:editId="67661B29">
                  <wp:extent cx="958850" cy="6223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58850" cy="622300"/>
                          </a:xfrm>
                          <a:prstGeom prst="rect">
                            <a:avLst/>
                          </a:prstGeom>
                          <a:ln/>
                        </pic:spPr>
                      </pic:pic>
                    </a:graphicData>
                  </a:graphic>
                </wp:inline>
              </w:drawing>
            </w:r>
          </w:p>
        </w:tc>
      </w:tr>
      <w:tr w:rsidR="00D90956" w14:paraId="2D158CD0" w14:textId="77777777">
        <w:tc>
          <w:tcPr>
            <w:tcW w:w="2694" w:type="dxa"/>
          </w:tcPr>
          <w:p w14:paraId="4A8821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“Global Design Principles”</w:t>
            </w:r>
          </w:p>
        </w:tc>
        <w:tc>
          <w:tcPr>
            <w:tcW w:w="7371" w:type="dxa"/>
          </w:tcPr>
          <w:p w14:paraId="63757B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 set of common processes and procedures, which are used by core government departments and their arms' length bodies, (ALBs), to ensure consistency across government and facilitate greater sharing of expertise;</w:t>
            </w:r>
          </w:p>
        </w:tc>
      </w:tr>
      <w:tr w:rsidR="00D90956" w14:paraId="792151D6" w14:textId="77777777">
        <w:tc>
          <w:tcPr>
            <w:tcW w:w="2694" w:type="dxa"/>
          </w:tcPr>
          <w:p w14:paraId="2EC7C48E"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14:paraId="40CC4FE1" w14:textId="77777777" w:rsidR="00D90956" w:rsidRDefault="00185F51">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D90956" w14:paraId="6F298640" w14:textId="77777777">
        <w:tc>
          <w:tcPr>
            <w:tcW w:w="2694" w:type="dxa"/>
          </w:tcPr>
          <w:p w14:paraId="0E4D7C8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14:paraId="4DAFDFC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D90956" w14:paraId="38AB8D47" w14:textId="77777777">
        <w:tc>
          <w:tcPr>
            <w:tcW w:w="2694" w:type="dxa"/>
          </w:tcPr>
          <w:p w14:paraId="271029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14:paraId="321DB4B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w:t>
            </w:r>
            <w:r>
              <w:rPr>
                <w:rFonts w:ascii="Arial" w:eastAsia="Arial" w:hAnsi="Arial" w:cs="Arial"/>
                <w:color w:val="000000"/>
                <w:sz w:val="24"/>
                <w:szCs w:val="24"/>
              </w:rPr>
              <w:t>d the exercise of the degree of skill and care, diligence, prudence and foresight which would reasonably and ordinarily be expected from a skilled and experienced person or body engaged within the relevant industry or business sector;</w:t>
            </w:r>
          </w:p>
        </w:tc>
      </w:tr>
      <w:tr w:rsidR="00D90956" w14:paraId="06199563" w14:textId="77777777">
        <w:tc>
          <w:tcPr>
            <w:tcW w:w="2694" w:type="dxa"/>
          </w:tcPr>
          <w:p w14:paraId="2857B5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14:paraId="47E3B81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w:t>
            </w:r>
            <w:r>
              <w:rPr>
                <w:rFonts w:ascii="Arial" w:eastAsia="Arial" w:hAnsi="Arial" w:cs="Arial"/>
                <w:color w:val="000000"/>
                <w:sz w:val="24"/>
                <w:szCs w:val="24"/>
              </w:rPr>
              <w:t>ernment of the United Kingdom (including the Northern Ireland Assembly and Executive Committee, the Scottish Government and the National Assembly for Wales), including government ministers and government departments and other bodies, persons, commissions o</w:t>
            </w:r>
            <w:r>
              <w:rPr>
                <w:rFonts w:ascii="Arial" w:eastAsia="Arial" w:hAnsi="Arial" w:cs="Arial"/>
                <w:color w:val="000000"/>
                <w:sz w:val="24"/>
                <w:szCs w:val="24"/>
              </w:rPr>
              <w:t>r agencies from time to time carrying out functions on its behalf;</w:t>
            </w:r>
          </w:p>
        </w:tc>
      </w:tr>
      <w:tr w:rsidR="00D90956" w14:paraId="7FFFDE1A" w14:textId="77777777">
        <w:tc>
          <w:tcPr>
            <w:tcW w:w="2694" w:type="dxa"/>
            <w:vAlign w:val="center"/>
          </w:tcPr>
          <w:p w14:paraId="1E849A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14:paraId="60217E87"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D90956" w14:paraId="160D1D6A" w14:textId="77777777">
        <w:tc>
          <w:tcPr>
            <w:tcW w:w="2694" w:type="dxa"/>
          </w:tcPr>
          <w:p w14:paraId="15F87C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14:paraId="78C20BB0"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w:t>
            </w:r>
            <w:r>
              <w:rPr>
                <w:rFonts w:ascii="Arial" w:eastAsia="Arial" w:hAnsi="Arial" w:cs="Arial"/>
                <w:color w:val="000000"/>
                <w:sz w:val="24"/>
                <w:szCs w:val="24"/>
              </w:rPr>
              <w:t>database made up of any of these) which are embodied in any electronic, magnetic, optical or tangible media, including any of the Authority’s Confidential Information, and which:</w:t>
            </w:r>
          </w:p>
          <w:p w14:paraId="47476A9B" w14:textId="77777777" w:rsidR="00D90956" w:rsidRDefault="00185F51">
            <w:pPr>
              <w:numPr>
                <w:ilvl w:val="2"/>
                <w:numId w:val="28"/>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19D185F7" w14:textId="77777777" w:rsidR="00D90956" w:rsidRDefault="00185F51">
            <w:pPr>
              <w:numPr>
                <w:ilvl w:val="2"/>
                <w:numId w:val="28"/>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D90956" w14:paraId="57E37604" w14:textId="77777777">
        <w:tc>
          <w:tcPr>
            <w:tcW w:w="2694" w:type="dxa"/>
            <w:vAlign w:val="center"/>
          </w:tcPr>
          <w:p w14:paraId="102E265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“Greening Government Commitments”</w:t>
            </w:r>
          </w:p>
        </w:tc>
        <w:tc>
          <w:tcPr>
            <w:tcW w:w="7371" w:type="dxa"/>
            <w:vAlign w:val="center"/>
          </w:tcPr>
          <w:p w14:paraId="55812E8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D90956" w14:paraId="793D5121" w14:textId="77777777">
        <w:tc>
          <w:tcPr>
            <w:tcW w:w="2694" w:type="dxa"/>
          </w:tcPr>
          <w:p w14:paraId="4C336A6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14:paraId="6B85709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w:t>
            </w:r>
            <w:r>
              <w:rPr>
                <w:rFonts w:ascii="Arial" w:eastAsia="Arial" w:hAnsi="Arial" w:cs="Arial"/>
                <w:color w:val="000000"/>
                <w:sz w:val="24"/>
                <w:szCs w:val="24"/>
              </w:rPr>
              <w:t>antee) in relation to this Contract;</w:t>
            </w:r>
          </w:p>
        </w:tc>
      </w:tr>
      <w:tr w:rsidR="00D90956" w14:paraId="225FB8F8" w14:textId="77777777">
        <w:tc>
          <w:tcPr>
            <w:tcW w:w="2694" w:type="dxa"/>
          </w:tcPr>
          <w:p w14:paraId="405E5DF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14:paraId="7F48AE9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90956" w14:paraId="43B98E04" w14:textId="77777777">
        <w:tc>
          <w:tcPr>
            <w:tcW w:w="2694" w:type="dxa"/>
          </w:tcPr>
          <w:p w14:paraId="4D47C6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“Historic Volumes”</w:t>
            </w:r>
          </w:p>
        </w:tc>
        <w:tc>
          <w:tcPr>
            <w:tcW w:w="7371" w:type="dxa"/>
          </w:tcPr>
          <w:p w14:paraId="559156BE"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D90956" w14:paraId="66CCD036" w14:textId="77777777">
        <w:tc>
          <w:tcPr>
            <w:tcW w:w="2694" w:type="dxa"/>
          </w:tcPr>
          <w:p w14:paraId="408A04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371" w:type="dxa"/>
          </w:tcPr>
          <w:p w14:paraId="09E9BB8D"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Her Majesty's Government;</w:t>
            </w:r>
          </w:p>
        </w:tc>
      </w:tr>
      <w:tr w:rsidR="00D90956" w14:paraId="286237F6" w14:textId="77777777">
        <w:tc>
          <w:tcPr>
            <w:tcW w:w="2694" w:type="dxa"/>
          </w:tcPr>
          <w:p w14:paraId="5A5C86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p>
        </w:tc>
        <w:tc>
          <w:tcPr>
            <w:tcW w:w="7371" w:type="dxa"/>
          </w:tcPr>
          <w:p w14:paraId="2A916F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D90956" w14:paraId="2F5BEE86" w14:textId="77777777">
        <w:tc>
          <w:tcPr>
            <w:tcW w:w="2694" w:type="dxa"/>
          </w:tcPr>
          <w:p w14:paraId="5B0997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14:paraId="1A043B19" w14:textId="2D0A09E4"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in </w:t>
            </w:r>
            <w:r>
              <w:rPr>
                <w:rFonts w:ascii="Arial" w:eastAsia="Arial" w:hAnsi="Arial" w:cs="Arial"/>
                <w:color w:val="000000"/>
                <w:sz w:val="24"/>
                <w:szCs w:val="24"/>
              </w:rPr>
              <w:t>accordance with the Variation Procedure;</w:t>
            </w:r>
          </w:p>
        </w:tc>
      </w:tr>
      <w:tr w:rsidR="00D90956" w14:paraId="096650F7" w14:textId="77777777">
        <w:tc>
          <w:tcPr>
            <w:tcW w:w="2694" w:type="dxa"/>
          </w:tcPr>
          <w:p w14:paraId="74DA46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14:paraId="74C5C83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29F8E9F"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E2F4819"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16EDB4DC"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14:paraId="3840243A"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w:t>
            </w:r>
          </w:p>
          <w:p w14:paraId="0FBAA9C7"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14:paraId="070FEF91"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90956" w14:paraId="271E1426" w14:textId="77777777">
        <w:tc>
          <w:tcPr>
            <w:tcW w:w="2694" w:type="dxa"/>
          </w:tcPr>
          <w:p w14:paraId="353CCB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“Incumbent Supplier”</w:t>
            </w:r>
          </w:p>
        </w:tc>
        <w:tc>
          <w:tcPr>
            <w:tcW w:w="7371" w:type="dxa"/>
          </w:tcPr>
          <w:p w14:paraId="7859C66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D90956" w14:paraId="7962DF88" w14:textId="77777777">
        <w:tc>
          <w:tcPr>
            <w:tcW w:w="2694" w:type="dxa"/>
            <w:vAlign w:val="center"/>
          </w:tcPr>
          <w:p w14:paraId="47F7B3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14:paraId="04ACEF3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highlight w:val="white"/>
              </w:rPr>
              <w:t>means the financial threshold (excluding Overhead and Profit) as specified in the Order Form, under which the costs of individual Reactive Maintenance Works are included in the Baseline Monthly Payment and which it shall apply per event and not, for exampl</w:t>
            </w:r>
            <w:r>
              <w:rPr>
                <w:rFonts w:ascii="Arial" w:eastAsia="Arial" w:hAnsi="Arial" w:cs="Arial"/>
                <w:sz w:val="24"/>
                <w:szCs w:val="24"/>
                <w:highlight w:val="white"/>
              </w:rPr>
              <w:t xml:space="preserve">e, per trade; </w:t>
            </w:r>
          </w:p>
        </w:tc>
      </w:tr>
      <w:tr w:rsidR="00D90956" w14:paraId="2B3817F0" w14:textId="77777777">
        <w:tc>
          <w:tcPr>
            <w:tcW w:w="2694" w:type="dxa"/>
          </w:tcPr>
          <w:p w14:paraId="6126659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14:paraId="1913E4A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D90956" w14:paraId="2B030F36" w14:textId="77777777">
        <w:tc>
          <w:tcPr>
            <w:tcW w:w="2694" w:type="dxa"/>
          </w:tcPr>
          <w:p w14:paraId="21FB254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14:paraId="3AD225D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90956" w14:paraId="070755E9" w14:textId="77777777">
        <w:tc>
          <w:tcPr>
            <w:tcW w:w="2694" w:type="dxa"/>
          </w:tcPr>
          <w:p w14:paraId="2F6B5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14:paraId="44EE5A3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90956" w14:paraId="50ED9305" w14:textId="77777777">
        <w:tc>
          <w:tcPr>
            <w:tcW w:w="2694" w:type="dxa"/>
          </w:tcPr>
          <w:p w14:paraId="3F77770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14:paraId="651E27E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90956" w14:paraId="1B452ED0" w14:textId="77777777">
        <w:tc>
          <w:tcPr>
            <w:tcW w:w="2694" w:type="dxa"/>
          </w:tcPr>
          <w:p w14:paraId="452E19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14:paraId="148DB4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UK’s independent authority which deals with ensuring information relating to rights in the public interest and data privacy for individuals is me</w:t>
            </w:r>
            <w:r>
              <w:rPr>
                <w:rFonts w:ascii="Arial" w:eastAsia="Arial" w:hAnsi="Arial" w:cs="Arial"/>
                <w:color w:val="000000"/>
                <w:sz w:val="24"/>
                <w:szCs w:val="24"/>
              </w:rPr>
              <w:t xml:space="preserve">t, whilst promoting openness by public bodies; </w:t>
            </w:r>
          </w:p>
        </w:tc>
      </w:tr>
      <w:tr w:rsidR="00D90956" w14:paraId="5709ECC1" w14:textId="77777777">
        <w:tc>
          <w:tcPr>
            <w:tcW w:w="2694" w:type="dxa"/>
          </w:tcPr>
          <w:p w14:paraId="482191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14:paraId="4ADB3841"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D90956" w14:paraId="6036BBDA" w14:textId="77777777">
        <w:tc>
          <w:tcPr>
            <w:tcW w:w="2694" w:type="dxa"/>
          </w:tcPr>
          <w:p w14:paraId="32CC8B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14:paraId="6C0F4EE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22524191" w14:textId="77777777" w:rsidR="00D90956" w:rsidRDefault="00185F51">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48AA2F1E"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43DE6AC3"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r>
              <w:rPr>
                <w:rFonts w:ascii="Arial" w:eastAsia="Arial" w:hAnsi="Arial" w:cs="Arial"/>
                <w:color w:val="000000"/>
                <w:sz w:val="24"/>
                <w:szCs w:val="24"/>
              </w:rPr>
              <w:t>;</w:t>
            </w:r>
          </w:p>
          <w:p w14:paraId="46B2A503"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(b)     that person commences negotiations with one or more of its creditors (using a voluntary arrangement, scheme of arrangement or otherwise) with a view to rescheduling any of its debts, or makes a proposal for or enters into any compromise or arrang</w:t>
            </w:r>
            <w:r>
              <w:rPr>
                <w:rFonts w:ascii="Arial" w:eastAsia="Arial" w:hAnsi="Arial" w:cs="Arial"/>
                <w:color w:val="000000"/>
                <w:sz w:val="24"/>
                <w:szCs w:val="24"/>
              </w:rPr>
              <w:t xml:space="preserve">ement with one or more of its creditors or takes any step to obtain a moratorium pursuant to Section 1A and Schedule A1 of the Insolvency Act 1986 other than (in the case of a company, a LLP or a partnership) for the sole purpose of a scheme for a solvent </w:t>
            </w:r>
            <w:r>
              <w:rPr>
                <w:rFonts w:ascii="Arial" w:eastAsia="Arial" w:hAnsi="Arial" w:cs="Arial"/>
                <w:color w:val="000000"/>
                <w:sz w:val="24"/>
                <w:szCs w:val="24"/>
              </w:rPr>
              <w:t>amalgamation of that person with one or more other companies or the solvent reconstruction of that person;</w:t>
            </w:r>
          </w:p>
          <w:p w14:paraId="4E714CB0"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r>
              <w:rPr>
                <w:rFonts w:ascii="Arial" w:eastAsia="Arial" w:hAnsi="Arial" w:cs="Arial"/>
                <w:color w:val="000000"/>
                <w:sz w:val="24"/>
                <w:szCs w:val="24"/>
              </w:rPr>
              <w:t>;</w:t>
            </w:r>
          </w:p>
          <w:p w14:paraId="6B97EBA7"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or other such process is levied or enforced on or sued against, the whole or any part of that person’s assets and such attachment or process is not </w:t>
            </w:r>
            <w:r>
              <w:rPr>
                <w:rFonts w:ascii="Arial" w:eastAsia="Arial" w:hAnsi="Arial" w:cs="Arial"/>
                <w:color w:val="000000"/>
                <w:sz w:val="24"/>
                <w:szCs w:val="24"/>
              </w:rPr>
              <w:t>discharged within 14 days;</w:t>
            </w:r>
          </w:p>
          <w:p w14:paraId="3E385F34"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13A91959"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593E1B6F"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w:t>
            </w:r>
            <w:r>
              <w:rPr>
                <w:rFonts w:ascii="Arial" w:eastAsia="Arial" w:hAnsi="Arial" w:cs="Arial"/>
                <w:color w:val="000000"/>
                <w:sz w:val="24"/>
                <w:szCs w:val="24"/>
              </w:rPr>
              <w:t xml:space="preserve"> a solvent amalgamation of that person with one or more other companies or the solvent reconstruction of that person;</w:t>
            </w:r>
          </w:p>
          <w:p w14:paraId="3EAF62B1"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w:t>
            </w:r>
            <w:r>
              <w:rPr>
                <w:rFonts w:ascii="Arial" w:eastAsia="Arial" w:hAnsi="Arial" w:cs="Arial"/>
                <w:color w:val="000000"/>
                <w:sz w:val="24"/>
                <w:szCs w:val="24"/>
              </w:rPr>
              <w:t>oint an administrator is filed at Court or given or if an administrator is appointed, over that person;</w:t>
            </w:r>
          </w:p>
          <w:p w14:paraId="6969F352"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w:t>
            </w:r>
            <w:r>
              <w:rPr>
                <w:rFonts w:ascii="Arial" w:eastAsia="Arial" w:hAnsi="Arial" w:cs="Arial"/>
                <w:color w:val="000000"/>
                <w:sz w:val="24"/>
                <w:szCs w:val="24"/>
              </w:rPr>
              <w:t>ointed an administrative receiver; or</w:t>
            </w:r>
          </w:p>
          <w:p w14:paraId="20A87485"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798AE316"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w:t>
            </w:r>
            <w:r>
              <w:rPr>
                <w:rFonts w:ascii="Arial" w:eastAsia="Arial" w:hAnsi="Arial" w:cs="Arial"/>
                <w:color w:val="000000"/>
                <w:sz w:val="24"/>
                <w:szCs w:val="24"/>
              </w:rPr>
              <w:t>ding is taken, with respect to that person in any jurisdiction to which it is subject that has an effect equivalent or similar to any of the events mentioned above;</w:t>
            </w:r>
          </w:p>
        </w:tc>
      </w:tr>
      <w:tr w:rsidR="00D90956" w14:paraId="6503D198" w14:textId="77777777">
        <w:tc>
          <w:tcPr>
            <w:tcW w:w="2694" w:type="dxa"/>
          </w:tcPr>
          <w:p w14:paraId="2ED1739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71" w:type="dxa"/>
          </w:tcPr>
          <w:p w14:paraId="344C0FB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D90956" w14:paraId="070F6BAF" w14:textId="77777777">
        <w:tc>
          <w:tcPr>
            <w:tcW w:w="2694" w:type="dxa"/>
          </w:tcPr>
          <w:p w14:paraId="5E8CA68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14:paraId="54DE9CD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14:paraId="7B336BE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14:paraId="7EBF2C32"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D90956" w14:paraId="3C6711BC" w14:textId="77777777">
        <w:tc>
          <w:tcPr>
            <w:tcW w:w="2694" w:type="dxa"/>
          </w:tcPr>
          <w:p w14:paraId="75A2D3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14:paraId="028ED3FC" w14:textId="77777777" w:rsidR="00D90956" w:rsidRDefault="00185F51">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90956" w14:paraId="012698C4" w14:textId="77777777">
        <w:tc>
          <w:tcPr>
            <w:tcW w:w="2694" w:type="dxa"/>
          </w:tcPr>
          <w:p w14:paraId="5920331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14:paraId="4353CE8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D90956" w14:paraId="54FF0F3F" w14:textId="77777777">
        <w:tc>
          <w:tcPr>
            <w:tcW w:w="2694" w:type="dxa"/>
          </w:tcPr>
          <w:p w14:paraId="40BF3F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14:paraId="03F47A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off-payroll rules requiring individuals who work through their company pay the same income tax and National Insurance contributions as an employee which c</w:t>
            </w:r>
            <w:r>
              <w:rPr>
                <w:rFonts w:ascii="Arial" w:eastAsia="Arial" w:hAnsi="Arial" w:cs="Arial"/>
                <w:color w:val="000000"/>
                <w:sz w:val="24"/>
                <w:szCs w:val="24"/>
              </w:rPr>
              <w:t xml:space="preserve">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90956" w14:paraId="0EA6DE0F" w14:textId="77777777">
        <w:tc>
          <w:tcPr>
            <w:tcW w:w="2694" w:type="dxa"/>
          </w:tcPr>
          <w:p w14:paraId="57F8BF0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371" w:type="dxa"/>
          </w:tcPr>
          <w:p w14:paraId="7CC4380A"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International Organization for Standardization;</w:t>
            </w:r>
          </w:p>
        </w:tc>
      </w:tr>
      <w:tr w:rsidR="00D90956" w14:paraId="53BB7764" w14:textId="77777777">
        <w:tc>
          <w:tcPr>
            <w:tcW w:w="2694" w:type="dxa"/>
          </w:tcPr>
          <w:p w14:paraId="32A193D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“ITIL Framework”</w:t>
            </w:r>
          </w:p>
        </w:tc>
        <w:tc>
          <w:tcPr>
            <w:tcW w:w="7371" w:type="dxa"/>
          </w:tcPr>
          <w:p w14:paraId="7BB1168F"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D90956" w14:paraId="3A7738AB" w14:textId="77777777">
        <w:tc>
          <w:tcPr>
            <w:tcW w:w="2694" w:type="dxa"/>
          </w:tcPr>
          <w:p w14:paraId="59E012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14:paraId="04332DF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90956" w14:paraId="4BD22221" w14:textId="77777777">
        <w:tc>
          <w:tcPr>
            <w:tcW w:w="2694" w:type="dxa"/>
          </w:tcPr>
          <w:p w14:paraId="0AC5C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14:paraId="6159C47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w:t>
            </w:r>
            <w:r>
              <w:rPr>
                <w:rFonts w:ascii="Arial" w:eastAsia="Arial" w:hAnsi="Arial" w:cs="Arial"/>
                <w:color w:val="000000"/>
                <w:sz w:val="24"/>
                <w:szCs w:val="24"/>
              </w:rPr>
              <w:t>eans of Processing;</w:t>
            </w:r>
          </w:p>
        </w:tc>
      </w:tr>
      <w:tr w:rsidR="00D90956" w14:paraId="65ED00D4"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742839"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“Joint Schedule(s)”</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38038D" w14:textId="77777777" w:rsidR="00D90956" w:rsidRDefault="00185F51">
            <w:pPr>
              <w:tabs>
                <w:tab w:val="left" w:pos="284"/>
              </w:tabs>
              <w:spacing w:after="120"/>
              <w:ind w:left="160"/>
              <w:jc w:val="both"/>
              <w:rPr>
                <w:rFonts w:ascii="Arial" w:eastAsia="Arial" w:hAnsi="Arial" w:cs="Arial"/>
                <w:sz w:val="24"/>
                <w:szCs w:val="24"/>
              </w:rPr>
            </w:pPr>
            <w:r>
              <w:rPr>
                <w:rFonts w:ascii="Arial" w:eastAsia="Arial" w:hAnsi="Arial" w:cs="Arial"/>
                <w:sz w:val="24"/>
                <w:szCs w:val="24"/>
              </w:rPr>
              <w:t>means the CCS joint schedule(s) which are common to each Core Terms Contract;</w:t>
            </w:r>
          </w:p>
        </w:tc>
      </w:tr>
      <w:tr w:rsidR="00D90956" w14:paraId="368B0747" w14:textId="77777777">
        <w:tc>
          <w:tcPr>
            <w:tcW w:w="2694" w:type="dxa"/>
          </w:tcPr>
          <w:p w14:paraId="50459F3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“Key Personnel”</w:t>
            </w:r>
          </w:p>
        </w:tc>
        <w:tc>
          <w:tcPr>
            <w:tcW w:w="7371" w:type="dxa"/>
          </w:tcPr>
          <w:p w14:paraId="19FA689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individuals (if any) identified as such in the Order Form;</w:t>
            </w:r>
          </w:p>
        </w:tc>
      </w:tr>
      <w:tr w:rsidR="00D90956" w14:paraId="4C522848" w14:textId="77777777">
        <w:tc>
          <w:tcPr>
            <w:tcW w:w="2694" w:type="dxa"/>
          </w:tcPr>
          <w:p w14:paraId="0EA2FEE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14:paraId="1E195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90956" w14:paraId="60CFF124" w14:textId="77777777">
        <w:trPr>
          <w:trHeight w:val="357"/>
        </w:trPr>
        <w:tc>
          <w:tcPr>
            <w:tcW w:w="2694" w:type="dxa"/>
          </w:tcPr>
          <w:p w14:paraId="06E03C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14:paraId="637A2AF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90956" w14:paraId="27A78AA1" w14:textId="77777777">
        <w:trPr>
          <w:trHeight w:val="426"/>
        </w:trPr>
        <w:tc>
          <w:tcPr>
            <w:tcW w:w="2694" w:type="dxa"/>
          </w:tcPr>
          <w:p w14:paraId="2462EBF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14:paraId="020410B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14:paraId="71013096"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55B1E5FA"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w:t>
            </w:r>
            <w:r>
              <w:rPr>
                <w:rFonts w:ascii="Arial" w:eastAsia="Arial" w:hAnsi="Arial" w:cs="Arial"/>
                <w:color w:val="000000"/>
                <w:sz w:val="24"/>
                <w:szCs w:val="24"/>
              </w:rPr>
              <w:t>nd/or</w:t>
            </w:r>
          </w:p>
          <w:p w14:paraId="24D07F90"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DBA85AF"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D90956" w14:paraId="1E9132F9" w14:textId="77777777">
        <w:tc>
          <w:tcPr>
            <w:tcW w:w="2694" w:type="dxa"/>
          </w:tcPr>
          <w:p w14:paraId="617E064C"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71" w:type="dxa"/>
          </w:tcPr>
          <w:p w14:paraId="3AC47A3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90956" w14:paraId="2B910847" w14:textId="77777777">
        <w:tc>
          <w:tcPr>
            <w:tcW w:w="2694" w:type="dxa"/>
            <w:vAlign w:val="center"/>
          </w:tcPr>
          <w:p w14:paraId="435D4DA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14:paraId="6D77E4C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D90956" w14:paraId="30C58CD8" w14:textId="77777777">
        <w:tc>
          <w:tcPr>
            <w:tcW w:w="2694" w:type="dxa"/>
            <w:vAlign w:val="center"/>
          </w:tcPr>
          <w:p w14:paraId="75F75F09"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14:paraId="2E05D4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D90956" w14:paraId="1B95A49F" w14:textId="77777777">
        <w:tc>
          <w:tcPr>
            <w:tcW w:w="2694" w:type="dxa"/>
            <w:vAlign w:val="center"/>
          </w:tcPr>
          <w:p w14:paraId="25B8F5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"Labour Count"</w:t>
            </w:r>
          </w:p>
        </w:tc>
        <w:tc>
          <w:tcPr>
            <w:tcW w:w="7371" w:type="dxa"/>
            <w:vAlign w:val="center"/>
          </w:tcPr>
          <w:p w14:paraId="43B5414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D90956" w14:paraId="65EEE168" w14:textId="77777777">
        <w:trPr>
          <w:trHeight w:val="285"/>
        </w:trPr>
        <w:tc>
          <w:tcPr>
            <w:tcW w:w="2694" w:type="dxa"/>
          </w:tcPr>
          <w:p w14:paraId="56D9363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14:paraId="6601964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w:t>
            </w:r>
            <w:r>
              <w:rPr>
                <w:rFonts w:ascii="Arial" w:eastAsia="Arial" w:hAnsi="Arial" w:cs="Arial"/>
                <w:color w:val="000000"/>
                <w:sz w:val="24"/>
                <w:szCs w:val="24"/>
              </w:rPr>
              <w:t>Act 1978, bye-law, enforceable right within the meaning of Section 2 of the European Communities Act 1972, regulation, order, regulatory policy, mandatory guidance or code of practice, judgment of a relevant court of law, or directives or requirements with</w:t>
            </w:r>
            <w:r>
              <w:rPr>
                <w:rFonts w:ascii="Arial" w:eastAsia="Arial" w:hAnsi="Arial" w:cs="Arial"/>
                <w:color w:val="000000"/>
                <w:sz w:val="24"/>
                <w:szCs w:val="24"/>
              </w:rPr>
              <w:t xml:space="preserve"> which the relevant Party is bound to comply;</w:t>
            </w:r>
          </w:p>
        </w:tc>
      </w:tr>
      <w:tr w:rsidR="00D90956" w14:paraId="049F0ECD" w14:textId="77777777">
        <w:tc>
          <w:tcPr>
            <w:tcW w:w="2694" w:type="dxa"/>
          </w:tcPr>
          <w:p w14:paraId="184A34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“LBAC”</w:t>
            </w:r>
          </w:p>
        </w:tc>
        <w:tc>
          <w:tcPr>
            <w:tcW w:w="7371" w:type="dxa"/>
          </w:tcPr>
          <w:p w14:paraId="71D7F35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D90956" w14:paraId="35F558CA" w14:textId="77777777">
        <w:tc>
          <w:tcPr>
            <w:tcW w:w="2694" w:type="dxa"/>
          </w:tcPr>
          <w:p w14:paraId="650778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14:paraId="6AB8287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w:t>
            </w:r>
            <w:r>
              <w:rPr>
                <w:rFonts w:ascii="Arial" w:eastAsia="Arial" w:hAnsi="Arial" w:cs="Arial"/>
                <w:color w:val="000000"/>
                <w:sz w:val="24"/>
                <w:szCs w:val="24"/>
              </w:rPr>
              <w:t>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90956" w14:paraId="7EF85A31" w14:textId="77777777">
        <w:tc>
          <w:tcPr>
            <w:tcW w:w="2694" w:type="dxa"/>
          </w:tcPr>
          <w:p w14:paraId="205C050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14:paraId="053936CF"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90956" w14:paraId="7C5AAE60" w14:textId="77777777">
        <w:tc>
          <w:tcPr>
            <w:tcW w:w="2694" w:type="dxa"/>
          </w:tcPr>
          <w:p w14:paraId="18A916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14:paraId="29CEC4A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90956" w14:paraId="5BD40DA3" w14:textId="77777777">
        <w:tc>
          <w:tcPr>
            <w:tcW w:w="2694" w:type="dxa"/>
          </w:tcPr>
          <w:p w14:paraId="3DE0A12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"Management Information" or “MI”</w:t>
            </w:r>
          </w:p>
        </w:tc>
        <w:tc>
          <w:tcPr>
            <w:tcW w:w="7371" w:type="dxa"/>
          </w:tcPr>
          <w:p w14:paraId="6D93D8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D90956" w14:paraId="530B4BA1" w14:textId="77777777">
        <w:tc>
          <w:tcPr>
            <w:tcW w:w="2694" w:type="dxa"/>
            <w:vAlign w:val="center"/>
          </w:tcPr>
          <w:p w14:paraId="711C18E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14:paraId="249E41B8"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664BEEEE"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w:t>
            </w:r>
            <w:r>
              <w:rPr>
                <w:rFonts w:ascii="Arial" w:eastAsia="Arial" w:hAnsi="Arial" w:cs="Arial"/>
                <w:color w:val="000000"/>
                <w:sz w:val="24"/>
                <w:szCs w:val="24"/>
              </w:rPr>
              <w:t xml:space="preserve">gement Overhead is captured at Framework level in the form of a percentage uplift, and forms part of the price evaluation. </w:t>
            </w:r>
          </w:p>
          <w:p w14:paraId="270DAF50" w14:textId="0B9DD7A1" w:rsidR="00D90956" w:rsidRDefault="00185F51" w:rsidP="007E0C7C">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At Further Competition the Framework rates are used as maximum rates, and bidders are invited to reduce the rates for each specific </w:t>
            </w:r>
            <w:r>
              <w:rPr>
                <w:rFonts w:ascii="Arial" w:eastAsia="Arial" w:hAnsi="Arial" w:cs="Arial"/>
                <w:color w:val="000000"/>
                <w:sz w:val="24"/>
                <w:szCs w:val="24"/>
              </w:rPr>
              <w:t>Further Competition.</w:t>
            </w:r>
          </w:p>
        </w:tc>
      </w:tr>
      <w:tr w:rsidR="00D90956" w14:paraId="5BD28B7F" w14:textId="77777777">
        <w:tc>
          <w:tcPr>
            <w:tcW w:w="2694" w:type="dxa"/>
            <w:vAlign w:val="center"/>
          </w:tcPr>
          <w:p w14:paraId="736148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14:paraId="7634226A" w14:textId="77777777" w:rsidR="00D90956" w:rsidRDefault="00185F51">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49193345" w14:textId="77777777" w:rsidR="00D90956" w:rsidRDefault="00185F51">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6F9C576B" w14:textId="4165EA52" w:rsidR="00D90956" w:rsidRDefault="00185F51" w:rsidP="007E0C7C">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w:t>
            </w:r>
            <w:r>
              <w:rPr>
                <w:rFonts w:ascii="Arial" w:eastAsia="Arial" w:hAnsi="Arial" w:cs="Arial"/>
                <w:sz w:val="24"/>
                <w:szCs w:val="24"/>
              </w:rPr>
              <w:t>pplier Personnel a non-statutory minimum hourly rate of pay.</w:t>
            </w:r>
          </w:p>
        </w:tc>
      </w:tr>
      <w:tr w:rsidR="00D90956" w14:paraId="05A1EF5C" w14:textId="77777777">
        <w:tc>
          <w:tcPr>
            <w:tcW w:w="2694" w:type="dxa"/>
          </w:tcPr>
          <w:p w14:paraId="373E691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14:paraId="70519A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90956" w14:paraId="5A99E6B9" w14:textId="77777777">
        <w:tc>
          <w:tcPr>
            <w:tcW w:w="2694" w:type="dxa"/>
          </w:tcPr>
          <w:p w14:paraId="30684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14:paraId="2B63CC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2EA9F83D"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49A5018B"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5A3912FA"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90956" w14:paraId="064BF98D" w14:textId="77777777">
        <w:tc>
          <w:tcPr>
            <w:tcW w:w="2694" w:type="dxa"/>
          </w:tcPr>
          <w:p w14:paraId="5D352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371" w:type="dxa"/>
          </w:tcPr>
          <w:p w14:paraId="5A6F98F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90956" w14:paraId="345C8B9E" w14:textId="77777777">
        <w:tc>
          <w:tcPr>
            <w:tcW w:w="2694" w:type="dxa"/>
          </w:tcPr>
          <w:p w14:paraId="2BB144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14:paraId="4A8D936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D90956" w14:paraId="575109BC" w14:textId="77777777">
        <w:tc>
          <w:tcPr>
            <w:tcW w:w="2694" w:type="dxa"/>
          </w:tcPr>
          <w:p w14:paraId="5D6504E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14:paraId="0779662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D90956" w14:paraId="27BCD32A" w14:textId="77777777">
        <w:tc>
          <w:tcPr>
            <w:tcW w:w="2694" w:type="dxa"/>
          </w:tcPr>
          <w:p w14:paraId="5AEF5F2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"Milestone Date"</w:t>
            </w:r>
          </w:p>
        </w:tc>
        <w:tc>
          <w:tcPr>
            <w:tcW w:w="7371" w:type="dxa"/>
          </w:tcPr>
          <w:p w14:paraId="2C21CC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D90956" w14:paraId="3F84006D" w14:textId="77777777">
        <w:tc>
          <w:tcPr>
            <w:tcW w:w="2694" w:type="dxa"/>
            <w:vAlign w:val="center"/>
          </w:tcPr>
          <w:p w14:paraId="11FDB1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14:paraId="4C8C5AC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a [six (6) Month] period, following the Effective Date, prior to commencement of the Services (unless stated </w:t>
            </w:r>
            <w:r>
              <w:rPr>
                <w:rFonts w:ascii="Arial" w:eastAsia="Arial" w:hAnsi="Arial" w:cs="Arial"/>
                <w:sz w:val="24"/>
                <w:szCs w:val="24"/>
              </w:rPr>
              <w:t>otherwise in the Order Form)</w:t>
            </w:r>
          </w:p>
        </w:tc>
      </w:tr>
      <w:tr w:rsidR="00D90956" w14:paraId="4AFD3975" w14:textId="77777777">
        <w:tc>
          <w:tcPr>
            <w:tcW w:w="2694" w:type="dxa"/>
            <w:vAlign w:val="center"/>
          </w:tcPr>
          <w:p w14:paraId="461137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14:paraId="1D9A7EB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D90956" w14:paraId="7D5EA81E" w14:textId="77777777">
        <w:tc>
          <w:tcPr>
            <w:tcW w:w="2694" w:type="dxa"/>
          </w:tcPr>
          <w:p w14:paraId="6F920FB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14:paraId="517129D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w:t>
            </w:r>
            <w:r>
              <w:rPr>
                <w:rFonts w:ascii="Arial" w:eastAsia="Arial" w:hAnsi="Arial" w:cs="Arial"/>
                <w:color w:val="000000"/>
                <w:sz w:val="24"/>
                <w:szCs w:val="24"/>
              </w:rPr>
              <w:t>ccordingly;</w:t>
            </w:r>
          </w:p>
        </w:tc>
      </w:tr>
      <w:tr w:rsidR="00D90956" w14:paraId="4DD748C2" w14:textId="77777777">
        <w:tc>
          <w:tcPr>
            <w:tcW w:w="2694" w:type="dxa"/>
            <w:vAlign w:val="center"/>
          </w:tcPr>
          <w:p w14:paraId="33647B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14:paraId="30E7F60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D90956" w14:paraId="7A73D220" w14:textId="77777777">
        <w:tc>
          <w:tcPr>
            <w:tcW w:w="2694" w:type="dxa"/>
          </w:tcPr>
          <w:p w14:paraId="570F13D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14:paraId="7879F9DF" w14:textId="5884E296"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r w:rsidR="007E0C7C">
              <w:rPr>
                <w:rFonts w:ascii="Arial" w:eastAsia="Arial" w:hAnsi="Arial" w:cs="Arial"/>
                <w:color w:val="000000"/>
                <w:sz w:val="24"/>
                <w:szCs w:val="24"/>
              </w:rPr>
              <w:t>the Social</w:t>
            </w:r>
            <w:r>
              <w:rPr>
                <w:rFonts w:ascii="Arial" w:eastAsia="Arial" w:hAnsi="Arial" w:cs="Arial"/>
                <w:color w:val="000000"/>
                <w:sz w:val="24"/>
                <w:szCs w:val="24"/>
              </w:rPr>
              <w:t xml:space="preserve"> Security (Contributions) Regulations 2001 (SI 2001/1004);</w:t>
            </w:r>
          </w:p>
        </w:tc>
      </w:tr>
      <w:tr w:rsidR="00D90956" w14:paraId="252EF851" w14:textId="77777777">
        <w:tc>
          <w:tcPr>
            <w:tcW w:w="2694" w:type="dxa"/>
          </w:tcPr>
          <w:p w14:paraId="485108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“NCSC”</w:t>
            </w:r>
          </w:p>
        </w:tc>
        <w:tc>
          <w:tcPr>
            <w:tcW w:w="7371" w:type="dxa"/>
          </w:tcPr>
          <w:p w14:paraId="67AE4F8E"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National Cyber Security Centre</w:t>
            </w:r>
          </w:p>
        </w:tc>
      </w:tr>
      <w:tr w:rsidR="00D90956" w14:paraId="3423DA1A" w14:textId="77777777">
        <w:tc>
          <w:tcPr>
            <w:tcW w:w="2694" w:type="dxa"/>
          </w:tcPr>
          <w:p w14:paraId="15F90D5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14:paraId="0E80F116" w14:textId="77777777" w:rsidR="00D90956" w:rsidRDefault="00185F51">
            <w:pPr>
              <w:numPr>
                <w:ilvl w:val="1"/>
                <w:numId w:val="11"/>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3AD9ADC" w14:textId="77777777" w:rsidR="00D90956" w:rsidRDefault="00185F51">
            <w:pPr>
              <w:numPr>
                <w:ilvl w:val="1"/>
                <w:numId w:val="11"/>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14:paraId="361A907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90956" w14:paraId="76714E22" w14:textId="77777777">
        <w:tc>
          <w:tcPr>
            <w:tcW w:w="2694" w:type="dxa"/>
          </w:tcPr>
          <w:p w14:paraId="5E72E0E0"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"New Service"</w:t>
            </w:r>
          </w:p>
        </w:tc>
        <w:tc>
          <w:tcPr>
            <w:tcW w:w="7371" w:type="dxa"/>
          </w:tcPr>
          <w:p w14:paraId="7829CB83"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D90956" w14:paraId="2CA968CE"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CF5DC4" w14:textId="77777777" w:rsidR="00D90956" w:rsidRDefault="00185F51">
            <w:pPr>
              <w:tabs>
                <w:tab w:val="left" w:pos="284"/>
              </w:tabs>
              <w:spacing w:after="120"/>
              <w:ind w:left="-100"/>
              <w:rPr>
                <w:rFonts w:ascii="Arial" w:eastAsia="Arial" w:hAnsi="Arial" w:cs="Arial"/>
                <w:b/>
                <w:sz w:val="24"/>
                <w:szCs w:val="24"/>
              </w:rPr>
            </w:pPr>
            <w:r>
              <w:rPr>
                <w:rFonts w:ascii="Arial" w:eastAsia="Arial" w:hAnsi="Arial" w:cs="Arial"/>
                <w:b/>
                <w:sz w:val="24"/>
                <w:szCs w:val="24"/>
              </w:rPr>
              <w:t>“Non-Core Terms Call Off Contract”</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54D2C4C" w14:textId="77777777" w:rsidR="00D90956" w:rsidRDefault="00185F51">
            <w:pPr>
              <w:tabs>
                <w:tab w:val="left" w:pos="284"/>
              </w:tabs>
              <w:spacing w:after="120"/>
              <w:jc w:val="both"/>
              <w:rPr>
                <w:rFonts w:ascii="Arial" w:eastAsia="Arial" w:hAnsi="Arial" w:cs="Arial"/>
                <w:sz w:val="24"/>
                <w:szCs w:val="24"/>
              </w:rPr>
            </w:pPr>
            <w:r>
              <w:rPr>
                <w:rFonts w:ascii="Arial" w:eastAsia="Arial" w:hAnsi="Arial" w:cs="Arial"/>
                <w:sz w:val="24"/>
                <w:szCs w:val="24"/>
              </w:rPr>
              <w:t>any Call Off Contract which is not a Core Terms Call Off Contract;</w:t>
            </w:r>
          </w:p>
        </w:tc>
      </w:tr>
      <w:tr w:rsidR="00D90956" w14:paraId="3815B722" w14:textId="77777777">
        <w:tc>
          <w:tcPr>
            <w:tcW w:w="2694" w:type="dxa"/>
          </w:tcPr>
          <w:p w14:paraId="7A2670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14:paraId="2FC1D9F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3AD29D09" w14:textId="77777777" w:rsidR="00D90956" w:rsidRDefault="00185F51">
            <w:pPr>
              <w:numPr>
                <w:ilvl w:val="1"/>
                <w:numId w:val="13"/>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CDF3BBC"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le or the Halifax Abuse Principle;</w:t>
            </w:r>
          </w:p>
          <w:p w14:paraId="5B03707D"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14:paraId="2DFF5968" w14:textId="7CF571ED" w:rsidR="00D90956" w:rsidRDefault="00185F51">
            <w:pPr>
              <w:numPr>
                <w:ilvl w:val="1"/>
                <w:numId w:val="13"/>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or to a civil penalty for fraud or evasion;</w:t>
            </w:r>
          </w:p>
        </w:tc>
      </w:tr>
      <w:tr w:rsidR="00D90956" w14:paraId="219AE636" w14:textId="77777777">
        <w:tc>
          <w:tcPr>
            <w:tcW w:w="2694" w:type="dxa"/>
          </w:tcPr>
          <w:p w14:paraId="341F70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“Off-Shore”</w:t>
            </w:r>
          </w:p>
        </w:tc>
        <w:tc>
          <w:tcPr>
            <w:tcW w:w="7371" w:type="dxa"/>
          </w:tcPr>
          <w:p w14:paraId="3533DC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Services delivered from outside the United Kingdom</w:t>
            </w:r>
          </w:p>
        </w:tc>
      </w:tr>
      <w:tr w:rsidR="00D90956" w14:paraId="2AE0C94B" w14:textId="77777777">
        <w:tc>
          <w:tcPr>
            <w:tcW w:w="2694" w:type="dxa"/>
          </w:tcPr>
          <w:p w14:paraId="4E7E5F1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“OLA”</w:t>
            </w:r>
          </w:p>
        </w:tc>
        <w:tc>
          <w:tcPr>
            <w:tcW w:w="7371" w:type="dxa"/>
          </w:tcPr>
          <w:p w14:paraId="6112B5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
          <w:p w14:paraId="25B84FF9" w14:textId="77777777" w:rsidR="00D90956" w:rsidRDefault="00D90956">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tc>
      </w:tr>
      <w:tr w:rsidR="00D90956" w14:paraId="5E8147F2" w14:textId="77777777">
        <w:tc>
          <w:tcPr>
            <w:tcW w:w="2694" w:type="dxa"/>
          </w:tcPr>
          <w:p w14:paraId="0C9700D1"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“On-Shore”</w:t>
            </w:r>
          </w:p>
        </w:tc>
        <w:tc>
          <w:tcPr>
            <w:tcW w:w="7371" w:type="dxa"/>
          </w:tcPr>
          <w:p w14:paraId="1806F8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Services delivered from within the United Kingdom</w:t>
            </w:r>
          </w:p>
        </w:tc>
      </w:tr>
      <w:tr w:rsidR="00D90956" w14:paraId="428A680E" w14:textId="77777777">
        <w:tc>
          <w:tcPr>
            <w:tcW w:w="2694" w:type="dxa"/>
          </w:tcPr>
          <w:p w14:paraId="20B1EE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14:paraId="650CDC5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14:paraId="396DFB6E" w14:textId="77777777" w:rsidR="00D90956" w:rsidRDefault="00185F51">
            <w:pPr>
              <w:numPr>
                <w:ilvl w:val="1"/>
                <w:numId w:val="25"/>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B536E2C"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w:t>
            </w:r>
            <w:r>
              <w:rPr>
                <w:rFonts w:ascii="Arial" w:eastAsia="Arial" w:hAnsi="Arial" w:cs="Arial"/>
                <w:color w:val="000000"/>
                <w:sz w:val="24"/>
                <w:szCs w:val="24"/>
              </w:rPr>
              <w:t xml:space="preserve"> the provision of the Deliverables including an analysis showing:</w:t>
            </w:r>
          </w:p>
          <w:p w14:paraId="5AB66533"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14:paraId="22553FDA"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staff costs broken down into the number and grade/role of all Supplier Staff (free of any </w:t>
            </w:r>
            <w:r>
              <w:rPr>
                <w:rFonts w:ascii="Arial" w:eastAsia="Arial" w:hAnsi="Arial" w:cs="Arial"/>
                <w:color w:val="000000"/>
                <w:sz w:val="24"/>
                <w:szCs w:val="24"/>
              </w:rPr>
              <w:lastRenderedPageBreak/>
              <w:t>contingency) together with a list of agreed rates against each grade;</w:t>
            </w:r>
          </w:p>
          <w:p w14:paraId="3B7F5E5F"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w:t>
            </w:r>
            <w:r>
              <w:rPr>
                <w:rFonts w:ascii="Arial" w:eastAsia="Arial" w:hAnsi="Arial" w:cs="Arial"/>
                <w:color w:val="000000"/>
                <w:sz w:val="24"/>
                <w:szCs w:val="24"/>
              </w:rPr>
              <w:t xml:space="preserve"> Profit Margin; and</w:t>
            </w:r>
          </w:p>
          <w:p w14:paraId="205423A0"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14:paraId="56E7850B"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14:paraId="0AE7E19F"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incurred in relation to the provision of the Deliverables;</w:t>
            </w:r>
          </w:p>
          <w:p w14:paraId="7CC75671"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t>
            </w:r>
            <w:r>
              <w:rPr>
                <w:rFonts w:ascii="Arial" w:eastAsia="Arial" w:hAnsi="Arial" w:cs="Arial"/>
                <w:color w:val="000000"/>
                <w:sz w:val="24"/>
                <w:szCs w:val="24"/>
              </w:rPr>
              <w:t>work Contract Period and on an annual basis;</w:t>
            </w:r>
          </w:p>
          <w:p w14:paraId="064C2A69"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3303AD47"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w:t>
            </w:r>
            <w:r>
              <w:rPr>
                <w:rFonts w:ascii="Arial" w:eastAsia="Arial" w:hAnsi="Arial" w:cs="Arial"/>
                <w:color w:val="000000"/>
                <w:sz w:val="24"/>
                <w:szCs w:val="24"/>
              </w:rPr>
              <w:t>isk and contingencies associated with the provision of the Deliverables, including the amount of money attributed to each risk and/or contingency; and</w:t>
            </w:r>
          </w:p>
          <w:p w14:paraId="2F1B39F0"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D90956" w14:paraId="001F00A2" w14:textId="77777777">
        <w:tc>
          <w:tcPr>
            <w:tcW w:w="2694" w:type="dxa"/>
          </w:tcPr>
          <w:p w14:paraId="52C6BFF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71" w:type="dxa"/>
          </w:tcPr>
          <w:p w14:paraId="2DBE7F1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90956" w14:paraId="1D769F89" w14:textId="77777777">
        <w:tc>
          <w:tcPr>
            <w:tcW w:w="2694" w:type="dxa"/>
          </w:tcPr>
          <w:p w14:paraId="406807D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14:paraId="7200A2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90956" w14:paraId="21F600C1" w14:textId="77777777">
        <w:tc>
          <w:tcPr>
            <w:tcW w:w="2694" w:type="dxa"/>
          </w:tcPr>
          <w:p w14:paraId="6AD30A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371" w:type="dxa"/>
          </w:tcPr>
          <w:p w14:paraId="3D59329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90956" w14:paraId="17220780" w14:textId="77777777">
        <w:trPr>
          <w:trHeight w:val="675"/>
        </w:trPr>
        <w:tc>
          <w:tcPr>
            <w:tcW w:w="2694" w:type="dxa"/>
          </w:tcPr>
          <w:p w14:paraId="7587AD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14:paraId="71103D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90956" w14:paraId="0F572557" w14:textId="77777777">
        <w:tc>
          <w:tcPr>
            <w:tcW w:w="2694" w:type="dxa"/>
          </w:tcPr>
          <w:p w14:paraId="0F8686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"Overhead" </w:t>
            </w:r>
          </w:p>
        </w:tc>
        <w:tc>
          <w:tcPr>
            <w:tcW w:w="7371" w:type="dxa"/>
            <w:vAlign w:val="center"/>
          </w:tcPr>
          <w:p w14:paraId="36E69843"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14:paraId="476C25C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14:paraId="1AF1D1D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w:t>
            </w:r>
            <w:r>
              <w:rPr>
                <w:rFonts w:ascii="Arial" w:eastAsia="Arial" w:hAnsi="Arial" w:cs="Arial"/>
                <w:color w:val="000000"/>
                <w:sz w:val="24"/>
                <w:szCs w:val="24"/>
              </w:rPr>
              <w:t xml:space="preserve"> A must also be accounted for within Management Overhead.</w:t>
            </w:r>
          </w:p>
          <w:p w14:paraId="4A0B94FF"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395FD274"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w:t>
            </w:r>
            <w:r>
              <w:rPr>
                <w:rFonts w:ascii="Arial" w:eastAsia="Arial" w:hAnsi="Arial" w:cs="Arial"/>
                <w:color w:val="000000"/>
                <w:sz w:val="24"/>
                <w:szCs w:val="24"/>
              </w:rPr>
              <w:t>fic Further Competition.</w:t>
            </w:r>
          </w:p>
          <w:p w14:paraId="2C19817C"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14:paraId="6989479D"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w:t>
            </w:r>
            <w:r>
              <w:rPr>
                <w:rFonts w:ascii="Arial" w:eastAsia="Arial" w:hAnsi="Arial" w:cs="Arial"/>
                <w:color w:val="000000"/>
                <w:sz w:val="24"/>
                <w:szCs w:val="24"/>
              </w:rPr>
              <w:t>y fines or penalties) but excluding allowable indirect costs apportioned to facilities and administration in the provision of Supplier Personnel and accordingly included within limb (a) of the definition of “Costs”;</w:t>
            </w:r>
          </w:p>
          <w:p w14:paraId="528D3C8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w:t>
            </w:r>
            <w:r>
              <w:rPr>
                <w:rFonts w:ascii="Arial" w:eastAsia="Arial" w:hAnsi="Arial" w:cs="Arial"/>
                <w:sz w:val="24"/>
                <w:szCs w:val="24"/>
              </w:rPr>
              <w:t>ork level in the form of a percentage uplift, and forms part of the price evaluation. At Further Competition the Framework rates are used as maximum rates, and bidders are invited to reduce the rates for each specific Further Competition.</w:t>
            </w:r>
          </w:p>
        </w:tc>
      </w:tr>
      <w:tr w:rsidR="00D90956" w14:paraId="7DB7047D" w14:textId="77777777">
        <w:tc>
          <w:tcPr>
            <w:tcW w:w="2694" w:type="dxa"/>
          </w:tcPr>
          <w:p w14:paraId="1D40337A"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“Overpayments”</w:t>
            </w:r>
          </w:p>
        </w:tc>
        <w:tc>
          <w:tcPr>
            <w:tcW w:w="7371" w:type="dxa"/>
          </w:tcPr>
          <w:p w14:paraId="4303A3F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D90956" w14:paraId="17A6DBCA" w14:textId="77777777">
        <w:tc>
          <w:tcPr>
            <w:tcW w:w="2694" w:type="dxa"/>
          </w:tcPr>
          <w:p w14:paraId="713418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14:paraId="76A0F36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D90956" w14:paraId="5649D351" w14:textId="77777777">
        <w:tc>
          <w:tcPr>
            <w:tcW w:w="2694" w:type="dxa"/>
          </w:tcPr>
          <w:p w14:paraId="774A83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14:paraId="009E5C5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90956" w14:paraId="4D0209E9" w14:textId="77777777">
        <w:tc>
          <w:tcPr>
            <w:tcW w:w="2694" w:type="dxa"/>
          </w:tcPr>
          <w:p w14:paraId="693CB679"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14:paraId="59312269"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D90956" w14:paraId="6C8C31AD" w14:textId="77777777">
        <w:tc>
          <w:tcPr>
            <w:tcW w:w="2694" w:type="dxa"/>
            <w:vAlign w:val="center"/>
          </w:tcPr>
          <w:p w14:paraId="6242FB78" w14:textId="77777777" w:rsidR="00D90956" w:rsidRDefault="00185F51">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14:paraId="3EB623E7"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w:t>
            </w:r>
            <w:r>
              <w:rPr>
                <w:rFonts w:ascii="Arial" w:eastAsia="Arial" w:hAnsi="Arial" w:cs="Arial"/>
                <w:sz w:val="24"/>
                <w:szCs w:val="24"/>
              </w:rPr>
              <w:t xml:space="preserve">h to the </w:t>
            </w:r>
            <w:r>
              <w:rPr>
                <w:rFonts w:ascii="Arial" w:eastAsia="Arial" w:hAnsi="Arial" w:cs="Arial"/>
                <w:sz w:val="24"/>
                <w:szCs w:val="24"/>
              </w:rPr>
              <w:lastRenderedPageBreak/>
              <w:t>Buyer with no additional mark-ups and to which the Management Charge does not apply.</w:t>
            </w:r>
          </w:p>
        </w:tc>
      </w:tr>
      <w:tr w:rsidR="00D90956" w14:paraId="1BFACD2C" w14:textId="77777777">
        <w:tc>
          <w:tcPr>
            <w:tcW w:w="2694" w:type="dxa"/>
            <w:vAlign w:val="center"/>
          </w:tcPr>
          <w:p w14:paraId="595AB51A" w14:textId="77777777" w:rsidR="00D90956" w:rsidRDefault="00185F51">
            <w:pPr>
              <w:spacing w:after="120"/>
              <w:rPr>
                <w:rFonts w:ascii="Arial" w:eastAsia="Arial" w:hAnsi="Arial" w:cs="Arial"/>
                <w:b/>
                <w:sz w:val="24"/>
                <w:szCs w:val="24"/>
              </w:rPr>
            </w:pPr>
            <w:r>
              <w:rPr>
                <w:rFonts w:ascii="Arial" w:eastAsia="Arial" w:hAnsi="Arial" w:cs="Arial"/>
                <w:b/>
                <w:sz w:val="24"/>
                <w:szCs w:val="24"/>
              </w:rPr>
              <w:lastRenderedPageBreak/>
              <w:t>"Payment Index"</w:t>
            </w:r>
          </w:p>
        </w:tc>
        <w:tc>
          <w:tcPr>
            <w:tcW w:w="7371" w:type="dxa"/>
            <w:vAlign w:val="center"/>
          </w:tcPr>
          <w:p w14:paraId="07E29F02"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D90956" w14:paraId="551556BC" w14:textId="77777777">
        <w:tc>
          <w:tcPr>
            <w:tcW w:w="2694" w:type="dxa"/>
          </w:tcPr>
          <w:p w14:paraId="7F9DC2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14:paraId="623638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90956" w14:paraId="784ECD45" w14:textId="77777777">
        <w:tc>
          <w:tcPr>
            <w:tcW w:w="2694" w:type="dxa"/>
            <w:vAlign w:val="center"/>
          </w:tcPr>
          <w:p w14:paraId="2EAD3BF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“Permit to Work”</w:t>
            </w:r>
          </w:p>
        </w:tc>
        <w:tc>
          <w:tcPr>
            <w:tcW w:w="7371" w:type="dxa"/>
            <w:vAlign w:val="center"/>
          </w:tcPr>
          <w:p w14:paraId="46E2727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means a system that is in place where strict controls are required due to </w:t>
            </w:r>
            <w:r>
              <w:rPr>
                <w:rFonts w:ascii="Arial" w:eastAsia="Arial" w:hAnsi="Arial" w:cs="Arial"/>
                <w:sz w:val="24"/>
                <w:szCs w:val="24"/>
              </w:rPr>
              <w:t>the proposed work being identified as having a high risk. The work shall be carried out against previously agreed safety procedures, a ‘permit-to-work' system;</w:t>
            </w:r>
          </w:p>
        </w:tc>
      </w:tr>
      <w:tr w:rsidR="00D90956" w14:paraId="3110207B" w14:textId="77777777">
        <w:tc>
          <w:tcPr>
            <w:tcW w:w="2694" w:type="dxa"/>
          </w:tcPr>
          <w:p w14:paraId="0225C23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14:paraId="7D97511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B758C2B" w14:textId="77777777">
        <w:tc>
          <w:tcPr>
            <w:tcW w:w="2694" w:type="dxa"/>
          </w:tcPr>
          <w:p w14:paraId="52BACF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14:paraId="63C2990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46961EE" w14:textId="77777777">
        <w:tc>
          <w:tcPr>
            <w:tcW w:w="2694" w:type="dxa"/>
          </w:tcPr>
          <w:p w14:paraId="278F1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14:paraId="36E46E5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90956" w14:paraId="52A0B749" w14:textId="77777777">
        <w:tc>
          <w:tcPr>
            <w:tcW w:w="2694" w:type="dxa"/>
            <w:vAlign w:val="center"/>
          </w:tcPr>
          <w:p w14:paraId="09DEEA5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14:paraId="47D1B1D9" w14:textId="77777777" w:rsidR="00D90956" w:rsidRDefault="00185F51">
            <w:pPr>
              <w:tabs>
                <w:tab w:val="left" w:pos="420"/>
              </w:tabs>
              <w:spacing w:before="240" w:after="240"/>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D90956" w14:paraId="07678564" w14:textId="77777777">
        <w:tc>
          <w:tcPr>
            <w:tcW w:w="2694" w:type="dxa"/>
          </w:tcPr>
          <w:p w14:paraId="7AA4431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14:paraId="0AAF6FF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w:t>
            </w:r>
            <w:r>
              <w:rPr>
                <w:rFonts w:ascii="Arial" w:eastAsia="Arial" w:hAnsi="Arial" w:cs="Arial"/>
                <w:color w:val="000000"/>
                <w:sz w:val="24"/>
                <w:szCs w:val="24"/>
              </w:rPr>
              <w:t xml:space="preserve">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D90956" w14:paraId="0EEBE3FD" w14:textId="77777777">
        <w:tc>
          <w:tcPr>
            <w:tcW w:w="2694" w:type="dxa"/>
            <w:vAlign w:val="center"/>
          </w:tcPr>
          <w:p w14:paraId="2975105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14:paraId="0AFFB5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D90956" w14:paraId="0FF9155A" w14:textId="77777777">
        <w:tc>
          <w:tcPr>
            <w:tcW w:w="2694" w:type="dxa"/>
            <w:vAlign w:val="center"/>
          </w:tcPr>
          <w:p w14:paraId="0A96099A"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"Pricing Matrix"</w:t>
            </w:r>
          </w:p>
        </w:tc>
        <w:tc>
          <w:tcPr>
            <w:tcW w:w="7371" w:type="dxa"/>
            <w:vAlign w:val="center"/>
          </w:tcPr>
          <w:p w14:paraId="38FAFE4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color w:val="222222"/>
                <w:sz w:val="24"/>
                <w:szCs w:val="24"/>
                <w:highlight w:val="white"/>
              </w:rPr>
              <w:t xml:space="preserve">means </w:t>
            </w:r>
            <w:r>
              <w:rPr>
                <w:rFonts w:ascii="Arial" w:eastAsia="Arial" w:hAnsi="Arial" w:cs="Arial"/>
                <w:color w:val="222222"/>
                <w:sz w:val="24"/>
                <w:szCs w:val="24"/>
              </w:rPr>
              <w:t>the Pricing Matrix used as part of the Call Off Procedure  (as in Call-Off Schedule 5 – Pricing Details));</w:t>
            </w:r>
          </w:p>
        </w:tc>
      </w:tr>
      <w:tr w:rsidR="00D90956" w14:paraId="2609E622" w14:textId="77777777">
        <w:tc>
          <w:tcPr>
            <w:tcW w:w="2694" w:type="dxa"/>
          </w:tcPr>
          <w:p w14:paraId="61B4DC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14:paraId="7275A36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357AF94" w14:textId="77777777">
        <w:tc>
          <w:tcPr>
            <w:tcW w:w="2694" w:type="dxa"/>
          </w:tcPr>
          <w:p w14:paraId="64CE5F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14:paraId="5C3EE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C69B6C9" w14:textId="77777777">
        <w:tc>
          <w:tcPr>
            <w:tcW w:w="2694" w:type="dxa"/>
          </w:tcPr>
          <w:p w14:paraId="05F7AC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"Progress Meeting"</w:t>
            </w:r>
          </w:p>
        </w:tc>
        <w:tc>
          <w:tcPr>
            <w:tcW w:w="7371" w:type="dxa"/>
          </w:tcPr>
          <w:p w14:paraId="09B33E4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90956" w14:paraId="7357F293" w14:textId="77777777">
        <w:tc>
          <w:tcPr>
            <w:tcW w:w="2694" w:type="dxa"/>
          </w:tcPr>
          <w:p w14:paraId="3E961A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14:paraId="1F7C01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D90956" w14:paraId="6F06741D" w14:textId="77777777">
        <w:tc>
          <w:tcPr>
            <w:tcW w:w="2694" w:type="dxa"/>
          </w:tcPr>
          <w:p w14:paraId="1001F7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14:paraId="36762F6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90956" w14:paraId="722A9E17" w14:textId="77777777">
        <w:tc>
          <w:tcPr>
            <w:tcW w:w="2694" w:type="dxa"/>
          </w:tcPr>
          <w:p w14:paraId="65A15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7371" w:type="dxa"/>
          </w:tcPr>
          <w:p w14:paraId="7AB7A4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90956" w14:paraId="7A66D9E8" w14:textId="77777777">
        <w:tc>
          <w:tcPr>
            <w:tcW w:w="2694" w:type="dxa"/>
          </w:tcPr>
          <w:p w14:paraId="67FFCBA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71" w:type="dxa"/>
          </w:tcPr>
          <w:p w14:paraId="5B354DF0"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6FBE2D4"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2839B569"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14:paraId="48F1412E"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6A5E58DA"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4083868D"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under the </w:t>
            </w:r>
            <w:r>
              <w:rPr>
                <w:rFonts w:ascii="Arial" w:eastAsia="Arial" w:hAnsi="Arial" w:cs="Arial"/>
                <w:color w:val="000000"/>
                <w:sz w:val="24"/>
                <w:szCs w:val="24"/>
              </w:rPr>
              <w:t>Bribery Act 2010 (or any legislation repealed or revoked by such Act); or</w:t>
            </w:r>
          </w:p>
          <w:p w14:paraId="10CDA385"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C06E60E"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FB47E86"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any activity, practice or </w:t>
            </w:r>
            <w:r>
              <w:rPr>
                <w:rFonts w:ascii="Arial" w:eastAsia="Arial" w:hAnsi="Arial" w:cs="Arial"/>
                <w:color w:val="000000"/>
                <w:sz w:val="24"/>
                <w:szCs w:val="24"/>
              </w:rPr>
              <w:t>conduct which would constitute one of the offences listed under (c) above if such activity, practice or conduct had been carried out in the UK;</w:t>
            </w:r>
          </w:p>
        </w:tc>
      </w:tr>
      <w:tr w:rsidR="00D90956" w14:paraId="4725B308" w14:textId="77777777">
        <w:tc>
          <w:tcPr>
            <w:tcW w:w="2694" w:type="dxa"/>
            <w:vAlign w:val="center"/>
          </w:tcPr>
          <w:p w14:paraId="56C283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14:paraId="7F3FA18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D90956" w14:paraId="350C7746" w14:textId="77777777">
        <w:tc>
          <w:tcPr>
            <w:tcW w:w="2694" w:type="dxa"/>
            <w:vAlign w:val="center"/>
          </w:tcPr>
          <w:p w14:paraId="0C5209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"Project Stage Uplift"</w:t>
            </w:r>
          </w:p>
        </w:tc>
        <w:tc>
          <w:tcPr>
            <w:tcW w:w="7371" w:type="dxa"/>
            <w:vAlign w:val="center"/>
          </w:tcPr>
          <w:p w14:paraId="4250E92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D90956" w14:paraId="21F0012E" w14:textId="77777777">
        <w:tc>
          <w:tcPr>
            <w:tcW w:w="2694" w:type="dxa"/>
          </w:tcPr>
          <w:p w14:paraId="3A487B9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14:paraId="09B939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D90956" w14:paraId="5CD2DA3B" w14:textId="77777777">
        <w:tc>
          <w:tcPr>
            <w:tcW w:w="2694" w:type="dxa"/>
            <w:vAlign w:val="center"/>
          </w:tcPr>
          <w:p w14:paraId="0F6A118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14:paraId="732E933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1" w:name="_heading=h.2et92p0" w:colFirst="0" w:colLast="0"/>
            <w:bookmarkEnd w:id="11"/>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D90956" w14:paraId="1E6866F8" w14:textId="77777777">
        <w:tc>
          <w:tcPr>
            <w:tcW w:w="2694" w:type="dxa"/>
          </w:tcPr>
          <w:p w14:paraId="200AF24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371" w:type="dxa"/>
          </w:tcPr>
          <w:p w14:paraId="5EFCAC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D90956" w14:paraId="55D00A19" w14:textId="77777777">
        <w:tc>
          <w:tcPr>
            <w:tcW w:w="2694" w:type="dxa"/>
          </w:tcPr>
          <w:p w14:paraId="264304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“RBAC”</w:t>
            </w:r>
          </w:p>
        </w:tc>
        <w:tc>
          <w:tcPr>
            <w:tcW w:w="7371" w:type="dxa"/>
          </w:tcPr>
          <w:p w14:paraId="741146A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D90956" w14:paraId="271D1ECC" w14:textId="77777777">
        <w:tc>
          <w:tcPr>
            <w:tcW w:w="2694" w:type="dxa"/>
          </w:tcPr>
          <w:p w14:paraId="292039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14:paraId="543C448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w:t>
            </w:r>
            <w:r>
              <w:rPr>
                <w:rFonts w:ascii="Arial" w:eastAsia="Arial" w:hAnsi="Arial" w:cs="Arial"/>
                <w:color w:val="000000"/>
                <w:sz w:val="24"/>
                <w:szCs w:val="24"/>
              </w:rPr>
              <w:t>ects in the right IPR rights) that might endanger health or hinder performance;</w:t>
            </w:r>
          </w:p>
        </w:tc>
      </w:tr>
      <w:tr w:rsidR="00D90956" w14:paraId="4A498BBC" w14:textId="77777777">
        <w:tc>
          <w:tcPr>
            <w:tcW w:w="2694" w:type="dxa"/>
          </w:tcPr>
          <w:p w14:paraId="23333D5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14:paraId="7FC52C8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90956" w14:paraId="6C63FE17" w14:textId="77777777">
        <w:tc>
          <w:tcPr>
            <w:tcW w:w="2694" w:type="dxa"/>
          </w:tcPr>
          <w:p w14:paraId="028285B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14:paraId="6451605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20EA3B7C"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54F8C5E8"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66CD4885"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D90956" w14:paraId="3E2A7219" w14:textId="77777777">
        <w:tc>
          <w:tcPr>
            <w:tcW w:w="2694" w:type="dxa"/>
          </w:tcPr>
          <w:p w14:paraId="5317A82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71" w:type="dxa"/>
          </w:tcPr>
          <w:p w14:paraId="4D9A93F1" w14:textId="77777777" w:rsidR="00D90956" w:rsidRDefault="00185F51">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90956" w14:paraId="069198E2" w14:textId="77777777">
        <w:tc>
          <w:tcPr>
            <w:tcW w:w="2694" w:type="dxa"/>
          </w:tcPr>
          <w:p w14:paraId="7D67F1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14:paraId="17BB46A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90956" w14:paraId="3A889625" w14:textId="77777777">
        <w:tc>
          <w:tcPr>
            <w:tcW w:w="2694" w:type="dxa"/>
          </w:tcPr>
          <w:p w14:paraId="1AA2DC6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14:paraId="74ED83F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w:t>
            </w:r>
            <w:r>
              <w:rPr>
                <w:rFonts w:ascii="Arial" w:eastAsia="Arial" w:hAnsi="Arial" w:cs="Arial"/>
                <w:color w:val="000000"/>
                <w:sz w:val="24"/>
                <w:szCs w:val="24"/>
              </w:rPr>
              <w:t>sarily incurred in the performance of the Services, calculated at the rates and in accordance with the Buyer's expenses policy current from time to time, but not including:</w:t>
            </w:r>
          </w:p>
          <w:p w14:paraId="56ECE8A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9A56E6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w:t>
            </w:r>
            <w:r>
              <w:rPr>
                <w:rFonts w:ascii="Arial" w:eastAsia="Arial" w:hAnsi="Arial" w:cs="Arial"/>
                <w:color w:val="000000"/>
                <w:sz w:val="24"/>
                <w:szCs w:val="24"/>
              </w:rPr>
              <w:t>ence expenses incurred by Supplier Staff whilst performing the Services at their usual place of work, or to and from the premises at which the Services are principally to be performed;</w:t>
            </w:r>
          </w:p>
        </w:tc>
      </w:tr>
      <w:tr w:rsidR="00D90956" w14:paraId="5BDDEE3E" w14:textId="77777777">
        <w:tc>
          <w:tcPr>
            <w:tcW w:w="2694" w:type="dxa"/>
          </w:tcPr>
          <w:p w14:paraId="24F4DC8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14:paraId="60BD5E7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90956" w14:paraId="2AEDA920" w14:textId="77777777">
        <w:tc>
          <w:tcPr>
            <w:tcW w:w="2694" w:type="dxa"/>
          </w:tcPr>
          <w:p w14:paraId="6C09B9C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14:paraId="4C281D45"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9F7B928"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14:paraId="6F870C3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90956" w14:paraId="52313DC3" w14:textId="77777777">
        <w:tc>
          <w:tcPr>
            <w:tcW w:w="2694" w:type="dxa"/>
          </w:tcPr>
          <w:p w14:paraId="7A7DFB2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71" w:type="dxa"/>
          </w:tcPr>
          <w:p w14:paraId="4E19E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90956" w14:paraId="7CB858A9" w14:textId="77777777">
        <w:tc>
          <w:tcPr>
            <w:tcW w:w="2694" w:type="dxa"/>
          </w:tcPr>
          <w:p w14:paraId="461B3E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14:paraId="1E31EF5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90956" w14:paraId="58C445E4" w14:textId="77777777">
        <w:tc>
          <w:tcPr>
            <w:tcW w:w="2694" w:type="dxa"/>
          </w:tcPr>
          <w:p w14:paraId="472E4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“Relevant Transfer”</w:t>
            </w:r>
          </w:p>
        </w:tc>
        <w:tc>
          <w:tcPr>
            <w:tcW w:w="7371" w:type="dxa"/>
          </w:tcPr>
          <w:p w14:paraId="31BA726B" w14:textId="646B1B80" w:rsidR="00D90956" w:rsidRDefault="00185F51" w:rsidP="007E0C7C">
            <w:pPr>
              <w:tabs>
                <w:tab w:val="left" w:pos="1985"/>
                <w:tab w:val="left" w:pos="2127"/>
              </w:tabs>
              <w:spacing w:after="120"/>
              <w:ind w:left="284" w:right="282"/>
              <w:jc w:val="both"/>
              <w:rPr>
                <w:rFonts w:ascii="Arial" w:eastAsia="Arial" w:hAnsi="Arial" w:cs="Arial"/>
                <w:strike/>
                <w:color w:val="000000"/>
                <w:sz w:val="24"/>
                <w:szCs w:val="24"/>
              </w:rPr>
            </w:pPr>
            <w:r>
              <w:rPr>
                <w:rFonts w:ascii="Arial" w:eastAsia="Arial" w:hAnsi="Arial" w:cs="Arial"/>
              </w:rPr>
              <w:t>a transfer of employment to which the Employment Regulations apply</w:t>
            </w:r>
          </w:p>
        </w:tc>
      </w:tr>
      <w:tr w:rsidR="00D90956" w14:paraId="03D268DB" w14:textId="77777777">
        <w:tc>
          <w:tcPr>
            <w:tcW w:w="2694" w:type="dxa"/>
          </w:tcPr>
          <w:p w14:paraId="7CBA1F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7371" w:type="dxa"/>
          </w:tcPr>
          <w:p w14:paraId="0B5981BA"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90956" w14:paraId="7E18B85E" w14:textId="77777777">
        <w:tc>
          <w:tcPr>
            <w:tcW w:w="2694" w:type="dxa"/>
          </w:tcPr>
          <w:p w14:paraId="3A0D5A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14:paraId="2D53ACC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w:t>
            </w:r>
            <w:r>
              <w:rPr>
                <w:rFonts w:ascii="Arial" w:eastAsia="Arial" w:hAnsi="Arial" w:cs="Arial"/>
                <w:color w:val="000000"/>
                <w:sz w:val="24"/>
                <w:szCs w:val="24"/>
              </w:rPr>
              <w:t>r to any of the Deliverables and which the Buyer receives in substitution for any of the Deliverables following the Call-Off Expiry Date, whether those Services are provided by the Buyer internally and/or by any third party;</w:t>
            </w:r>
          </w:p>
        </w:tc>
      </w:tr>
      <w:tr w:rsidR="00D90956" w14:paraId="24E08A76" w14:textId="77777777">
        <w:tc>
          <w:tcPr>
            <w:tcW w:w="2694" w:type="dxa"/>
            <w:vAlign w:val="center"/>
          </w:tcPr>
          <w:p w14:paraId="1565D91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14:paraId="7F45692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D90956" w14:paraId="74AB280B" w14:textId="77777777">
        <w:tc>
          <w:tcPr>
            <w:tcW w:w="2694" w:type="dxa"/>
          </w:tcPr>
          <w:p w14:paraId="552CA3D0"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14:paraId="2C953F5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90956" w14:paraId="7C58DF2D" w14:textId="77777777">
        <w:tc>
          <w:tcPr>
            <w:tcW w:w="2694" w:type="dxa"/>
          </w:tcPr>
          <w:p w14:paraId="652C267B"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14:paraId="69CD198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90956" w14:paraId="31B822CE" w14:textId="77777777">
        <w:tc>
          <w:tcPr>
            <w:tcW w:w="2694" w:type="dxa"/>
            <w:vAlign w:val="center"/>
          </w:tcPr>
          <w:p w14:paraId="7876B5B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14:paraId="7D25E46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D90956" w14:paraId="3D5CF6C9" w14:textId="77777777">
        <w:tc>
          <w:tcPr>
            <w:tcW w:w="2694" w:type="dxa"/>
          </w:tcPr>
          <w:p w14:paraId="001BF52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14:paraId="4B98BB7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w:t>
            </w:r>
            <w:r>
              <w:rPr>
                <w:rFonts w:ascii="Arial" w:eastAsia="Arial" w:hAnsi="Arial" w:cs="Arial"/>
                <w:color w:val="000000"/>
                <w:sz w:val="24"/>
                <w:szCs w:val="24"/>
              </w:rPr>
              <w:t>t for such information under the FOIA or the EIRs;</w:t>
            </w:r>
          </w:p>
        </w:tc>
      </w:tr>
      <w:tr w:rsidR="00D90956" w14:paraId="7B12BD08" w14:textId="77777777">
        <w:tc>
          <w:tcPr>
            <w:tcW w:w="2694" w:type="dxa"/>
          </w:tcPr>
          <w:p w14:paraId="32745F7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14:paraId="357F98B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D90956" w14:paraId="6E54DCC9" w14:textId="77777777">
        <w:tc>
          <w:tcPr>
            <w:tcW w:w="2694" w:type="dxa"/>
          </w:tcPr>
          <w:p w14:paraId="18EAD5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371" w:type="dxa"/>
          </w:tcPr>
          <w:p w14:paraId="04027BD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Real Time Information</w:t>
            </w:r>
          </w:p>
        </w:tc>
      </w:tr>
      <w:tr w:rsidR="00D90956" w14:paraId="2159F6C7" w14:textId="77777777">
        <w:tc>
          <w:tcPr>
            <w:tcW w:w="2694" w:type="dxa"/>
          </w:tcPr>
          <w:p w14:paraId="48A6FF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14:paraId="49A02FE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w:t>
            </w:r>
            <w:r>
              <w:rPr>
                <w:rFonts w:ascii="Arial" w:eastAsia="Arial" w:hAnsi="Arial" w:cs="Arial"/>
                <w:color w:val="000000"/>
                <w:sz w:val="24"/>
                <w:szCs w:val="24"/>
              </w:rPr>
              <w:t>er has met all of the requirements of an Order, Achieved a Milestone or a Test;</w:t>
            </w:r>
          </w:p>
        </w:tc>
      </w:tr>
      <w:tr w:rsidR="00D90956" w14:paraId="3D80C0ED" w14:textId="77777777">
        <w:tc>
          <w:tcPr>
            <w:tcW w:w="2694" w:type="dxa"/>
            <w:vAlign w:val="center"/>
          </w:tcPr>
          <w:p w14:paraId="135CE5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“Schedules"</w:t>
            </w:r>
          </w:p>
        </w:tc>
        <w:tc>
          <w:tcPr>
            <w:tcW w:w="7371" w:type="dxa"/>
            <w:vAlign w:val="center"/>
          </w:tcPr>
          <w:p w14:paraId="6DDFCB2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can mean a Framework, Call-Off or Joint Schedule that contain the terms and conditions;</w:t>
            </w:r>
          </w:p>
        </w:tc>
      </w:tr>
      <w:tr w:rsidR="00D90956" w14:paraId="46B04AB4" w14:textId="77777777">
        <w:tc>
          <w:tcPr>
            <w:tcW w:w="2694" w:type="dxa"/>
            <w:vAlign w:val="center"/>
          </w:tcPr>
          <w:p w14:paraId="0F761B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“Schedule of Rates</w:t>
            </w:r>
            <w:r>
              <w:rPr>
                <w:rFonts w:ascii="Arial" w:eastAsia="Arial" w:hAnsi="Arial" w:cs="Arial"/>
                <w:sz w:val="24"/>
                <w:szCs w:val="24"/>
              </w:rPr>
              <w:t>”</w:t>
            </w:r>
          </w:p>
        </w:tc>
        <w:tc>
          <w:tcPr>
            <w:tcW w:w="7371" w:type="dxa"/>
            <w:vAlign w:val="center"/>
          </w:tcPr>
          <w:p w14:paraId="41059642"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Supplier</w:t>
            </w:r>
            <w:r>
              <w:rPr>
                <w:rFonts w:ascii="Arial" w:eastAsia="Arial" w:hAnsi="Arial" w:cs="Arial"/>
                <w:color w:val="000000"/>
                <w:sz w:val="24"/>
                <w:szCs w:val="24"/>
              </w:rPr>
              <w:t xml:space="preserve">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Services</w:t>
            </w:r>
            <w:r>
              <w:rPr>
                <w:rFonts w:ascii="Arial" w:eastAsia="Arial" w:hAnsi="Arial" w:cs="Arial"/>
                <w:color w:val="000000"/>
                <w:sz w:val="24"/>
                <w:szCs w:val="24"/>
              </w:rPr>
              <w:t xml:space="preserve"> indicated. Labour rates should be proportionally linked </w:t>
            </w:r>
            <w:r>
              <w:rPr>
                <w:rFonts w:ascii="Arial" w:eastAsia="Arial" w:hAnsi="Arial" w:cs="Arial"/>
                <w:color w:val="000000"/>
                <w:sz w:val="24"/>
                <w:szCs w:val="24"/>
              </w:rPr>
              <w:t xml:space="preserve">to the Standard Service </w:t>
            </w:r>
            <w:r>
              <w:rPr>
                <w:rFonts w:ascii="Arial" w:eastAsia="Arial" w:hAnsi="Arial" w:cs="Arial"/>
                <w:sz w:val="24"/>
                <w:szCs w:val="24"/>
              </w:rPr>
              <w:t>r</w:t>
            </w:r>
            <w:r>
              <w:rPr>
                <w:rFonts w:ascii="Arial" w:eastAsia="Arial" w:hAnsi="Arial" w:cs="Arial"/>
                <w:color w:val="000000"/>
                <w:sz w:val="24"/>
                <w:szCs w:val="24"/>
              </w:rPr>
              <w:t>ates.</w:t>
            </w:r>
          </w:p>
          <w:p w14:paraId="0E622E0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Management and Corporate Overhead, and Profit, which will be added when the rates are used.</w:t>
            </w:r>
          </w:p>
          <w:p w14:paraId="678CAA64"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Costs should include but not be limited </w:t>
            </w:r>
            <w:r>
              <w:rPr>
                <w:rFonts w:ascii="Arial" w:eastAsia="Arial" w:hAnsi="Arial" w:cs="Arial"/>
                <w:color w:val="000000"/>
                <w:sz w:val="24"/>
                <w:szCs w:val="24"/>
              </w:rPr>
              <w:t>to: salary, on-costs, employers NI, employers’ pension and life insurance, holiday &amp; sickness cover. Materials are not included. Labour rates (£ per hour) will be detailed to show the First Hour (including cost to travel to site) and Subsequent hourly rate</w:t>
            </w:r>
            <w:r>
              <w:rPr>
                <w:rFonts w:ascii="Arial" w:eastAsia="Arial" w:hAnsi="Arial" w:cs="Arial"/>
                <w:color w:val="000000"/>
                <w:sz w:val="24"/>
                <w:szCs w:val="24"/>
              </w:rPr>
              <w:t>s for</w:t>
            </w:r>
          </w:p>
          <w:p w14:paraId="1A71B51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14:paraId="173D0960"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14:paraId="1B9D6F6F"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14:paraId="01C8BAB6"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CAF93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D90956" w14:paraId="708C58BF" w14:textId="77777777">
        <w:tc>
          <w:tcPr>
            <w:tcW w:w="2694" w:type="dxa"/>
          </w:tcPr>
          <w:p w14:paraId="742EA70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14:paraId="3CCBC68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90956" w14:paraId="270EE263" w14:textId="77777777">
        <w:tc>
          <w:tcPr>
            <w:tcW w:w="2694" w:type="dxa"/>
          </w:tcPr>
          <w:p w14:paraId="53359591"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14:paraId="49B7B105" w14:textId="7C0AE4F9"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security policy, referred to in the Order Form,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and notified to the Supplier;</w:t>
            </w:r>
          </w:p>
        </w:tc>
      </w:tr>
      <w:tr w:rsidR="00D90956" w14:paraId="7E252152" w14:textId="77777777">
        <w:tc>
          <w:tcPr>
            <w:tcW w:w="2694" w:type="dxa"/>
          </w:tcPr>
          <w:p w14:paraId="010FB41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71" w:type="dxa"/>
          </w:tcPr>
          <w:p w14:paraId="527C1B0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90956" w14:paraId="4D716F10" w14:textId="77777777">
        <w:tc>
          <w:tcPr>
            <w:tcW w:w="2694" w:type="dxa"/>
          </w:tcPr>
          <w:p w14:paraId="717C4D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14:paraId="48ADC5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3BAB51DE" w14:textId="77777777">
        <w:tc>
          <w:tcPr>
            <w:tcW w:w="2694" w:type="dxa"/>
            <w:vAlign w:val="center"/>
          </w:tcPr>
          <w:p w14:paraId="13BEA9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w:t>
            </w:r>
            <w:r>
              <w:rPr>
                <w:rFonts w:ascii="Arial" w:eastAsia="Arial" w:hAnsi="Arial" w:cs="Arial"/>
                <w:b/>
                <w:sz w:val="24"/>
                <w:szCs w:val="24"/>
              </w:rPr>
              <w:t>rvice Delivery Plan”</w:t>
            </w:r>
          </w:p>
        </w:tc>
        <w:tc>
          <w:tcPr>
            <w:tcW w:w="7371" w:type="dxa"/>
            <w:vAlign w:val="center"/>
          </w:tcPr>
          <w:p w14:paraId="1473DB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D90956" w14:paraId="5E078E43" w14:textId="77777777">
        <w:tc>
          <w:tcPr>
            <w:tcW w:w="2694" w:type="dxa"/>
          </w:tcPr>
          <w:p w14:paraId="36707E4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“Service Credits”</w:t>
            </w:r>
          </w:p>
        </w:tc>
        <w:tc>
          <w:tcPr>
            <w:tcW w:w="7371" w:type="dxa"/>
          </w:tcPr>
          <w:p w14:paraId="14AA22D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Contractor to meet one or more Key Performance Indicator;</w:t>
            </w:r>
          </w:p>
        </w:tc>
      </w:tr>
      <w:tr w:rsidR="00D90956" w14:paraId="2FA4E432" w14:textId="77777777">
        <w:tc>
          <w:tcPr>
            <w:tcW w:w="2694" w:type="dxa"/>
          </w:tcPr>
          <w:p w14:paraId="62E979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7371" w:type="dxa"/>
          </w:tcPr>
          <w:p w14:paraId="31E169C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D90956" w14:paraId="021AF9A0" w14:textId="77777777">
        <w:tc>
          <w:tcPr>
            <w:tcW w:w="2694" w:type="dxa"/>
          </w:tcPr>
          <w:p w14:paraId="63D31C44"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14:paraId="34F04F3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D90956" w14:paraId="21F7A295" w14:textId="77777777">
        <w:tc>
          <w:tcPr>
            <w:tcW w:w="2694" w:type="dxa"/>
            <w:vAlign w:val="center"/>
          </w:tcPr>
          <w:p w14:paraId="5FE7150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14:paraId="3F1EF70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D90956" w14:paraId="46A2F5C2" w14:textId="77777777">
        <w:tc>
          <w:tcPr>
            <w:tcW w:w="2694" w:type="dxa"/>
          </w:tcPr>
          <w:p w14:paraId="3424FC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14:paraId="09EC3B1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90956" w14:paraId="51576D70" w14:textId="77777777">
        <w:tc>
          <w:tcPr>
            <w:tcW w:w="2694" w:type="dxa"/>
          </w:tcPr>
          <w:p w14:paraId="74BAF3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14:paraId="432083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90956" w14:paraId="5AE5B98A" w14:textId="77777777">
        <w:tc>
          <w:tcPr>
            <w:tcW w:w="2694" w:type="dxa"/>
          </w:tcPr>
          <w:p w14:paraId="220E36F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14:paraId="165F23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w:t>
            </w:r>
            <w:r>
              <w:rPr>
                <w:rFonts w:ascii="Arial" w:eastAsia="Arial" w:hAnsi="Arial" w:cs="Arial"/>
                <w:color w:val="000000"/>
                <w:sz w:val="24"/>
                <w:szCs w:val="24"/>
              </w:rPr>
              <w:t>st, and Geographical Boundaries that the Buyer will use to create a Supplier shortlist;</w:t>
            </w:r>
          </w:p>
        </w:tc>
      </w:tr>
      <w:tr w:rsidR="00D90956" w14:paraId="54A443B1" w14:textId="77777777">
        <w:tc>
          <w:tcPr>
            <w:tcW w:w="2694" w:type="dxa"/>
          </w:tcPr>
          <w:p w14:paraId="3A0BC0DE"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14:paraId="6FF2E76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90956" w14:paraId="064AC48E" w14:textId="77777777">
        <w:tc>
          <w:tcPr>
            <w:tcW w:w="2694" w:type="dxa"/>
          </w:tcPr>
          <w:p w14:paraId="3CC5BF15"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14:paraId="0940640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90956" w14:paraId="6BB4A57D" w14:textId="77777777">
        <w:tc>
          <w:tcPr>
            <w:tcW w:w="2694" w:type="dxa"/>
          </w:tcPr>
          <w:p w14:paraId="7D6324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“Shared Services Strategy”</w:t>
            </w:r>
          </w:p>
        </w:tc>
        <w:tc>
          <w:tcPr>
            <w:tcW w:w="7371" w:type="dxa"/>
          </w:tcPr>
          <w:p w14:paraId="5F877C33" w14:textId="77777777" w:rsidR="00D90956" w:rsidRDefault="00185F51">
            <w:pPr>
              <w:ind w:left="284" w:right="282"/>
              <w:rPr>
                <w:rFonts w:ascii="Arial" w:eastAsia="Arial" w:hAnsi="Arial" w:cs="Arial"/>
                <w:sz w:val="24"/>
                <w:szCs w:val="24"/>
              </w:rPr>
            </w:pPr>
            <w:r>
              <w:rPr>
                <w:rFonts w:ascii="Arial" w:eastAsia="Arial" w:hAnsi="Arial" w:cs="Arial"/>
                <w:color w:val="202124"/>
                <w:sz w:val="24"/>
                <w:szCs w:val="24"/>
                <w:highlight w:val="white"/>
              </w:rPr>
              <w:t xml:space="preserve">a delivery model for the effective and efficient delivery of non-core </w:t>
            </w:r>
            <w:r>
              <w:rPr>
                <w:rFonts w:ascii="Arial" w:eastAsia="Arial" w:hAnsi="Arial" w:cs="Arial"/>
                <w:b/>
                <w:color w:val="202124"/>
                <w:sz w:val="24"/>
                <w:szCs w:val="24"/>
                <w:highlight w:val="white"/>
              </w:rPr>
              <w:t>Services</w:t>
            </w:r>
            <w:r>
              <w:rPr>
                <w:rFonts w:ascii="Arial" w:eastAsia="Arial" w:hAnsi="Arial" w:cs="Arial"/>
                <w:color w:val="202124"/>
                <w:sz w:val="24"/>
                <w:szCs w:val="24"/>
                <w:highlight w:val="white"/>
              </w:rPr>
              <w:t xml:space="preserve"> to the business. It employs a specialist team, geographically unconstrained, and focuses on the requirements of the customer</w:t>
            </w:r>
          </w:p>
        </w:tc>
      </w:tr>
      <w:tr w:rsidR="00D90956" w14:paraId="479D0F5B" w14:textId="77777777">
        <w:tc>
          <w:tcPr>
            <w:tcW w:w="2694" w:type="dxa"/>
          </w:tcPr>
          <w:p w14:paraId="0C3D9B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14:paraId="3270531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1A30C8D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14:paraId="5C95A304"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739BB228"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370EA35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w:t>
            </w:r>
            <w:r>
              <w:rPr>
                <w:rFonts w:ascii="Arial" w:eastAsia="Arial" w:hAnsi="Arial" w:cs="Arial"/>
                <w:color w:val="000000"/>
                <w:sz w:val="24"/>
                <w:szCs w:val="24"/>
              </w:rPr>
              <w:t>ny part of the Deliverables provided falls within Call-Off Schedule 6 (ICT Services));</w:t>
            </w:r>
          </w:p>
        </w:tc>
      </w:tr>
      <w:tr w:rsidR="00D90956" w14:paraId="34BF71E5" w14:textId="77777777">
        <w:tc>
          <w:tcPr>
            <w:tcW w:w="2694" w:type="dxa"/>
            <w:vAlign w:val="center"/>
          </w:tcPr>
          <w:p w14:paraId="6F62EC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lastRenderedPageBreak/>
              <w:t>"</w:t>
            </w:r>
            <w:r>
              <w:rPr>
                <w:rFonts w:ascii="Arial" w:eastAsia="Arial" w:hAnsi="Arial" w:cs="Arial"/>
                <w:b/>
                <w:sz w:val="24"/>
                <w:szCs w:val="24"/>
              </w:rPr>
              <w:t>Small Works"</w:t>
            </w:r>
          </w:p>
        </w:tc>
        <w:tc>
          <w:tcPr>
            <w:tcW w:w="7371" w:type="dxa"/>
            <w:vAlign w:val="center"/>
          </w:tcPr>
          <w:p w14:paraId="410D429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D90956" w14:paraId="402E76B9" w14:textId="77777777">
        <w:trPr>
          <w:trHeight w:val="945"/>
        </w:trPr>
        <w:tc>
          <w:tcPr>
            <w:tcW w:w="2694" w:type="dxa"/>
          </w:tcPr>
          <w:p w14:paraId="2F812107" w14:textId="77777777" w:rsidR="00D90956" w:rsidRDefault="00185F51">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14:paraId="07DCE4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90956" w14:paraId="07F07823" w14:textId="77777777">
        <w:trPr>
          <w:trHeight w:val="945"/>
        </w:trPr>
        <w:tc>
          <w:tcPr>
            <w:tcW w:w="2694" w:type="dxa"/>
          </w:tcPr>
          <w:p w14:paraId="518D658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14:paraId="387BFEF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D90956" w14:paraId="10F62D86" w14:textId="77777777">
        <w:trPr>
          <w:trHeight w:val="945"/>
        </w:trPr>
        <w:tc>
          <w:tcPr>
            <w:tcW w:w="2694" w:type="dxa"/>
          </w:tcPr>
          <w:p w14:paraId="2F3D91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71" w:type="dxa"/>
          </w:tcPr>
          <w:p w14:paraId="6807DEA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w:t>
            </w:r>
            <w:r>
              <w:rPr>
                <w:rFonts w:ascii="Arial" w:eastAsia="Arial" w:hAnsi="Arial" w:cs="Arial"/>
                <w:color w:val="000000"/>
                <w:sz w:val="24"/>
                <w:szCs w:val="24"/>
              </w:rPr>
              <w:t>ble Supply where the effect of that Specific Change in Law on the Deliverables is not reasonably foreseeable at the Start Date;</w:t>
            </w:r>
          </w:p>
        </w:tc>
      </w:tr>
      <w:tr w:rsidR="00D90956" w14:paraId="28AAC01B" w14:textId="77777777">
        <w:trPr>
          <w:trHeight w:val="945"/>
        </w:trPr>
        <w:tc>
          <w:tcPr>
            <w:tcW w:w="2694" w:type="dxa"/>
          </w:tcPr>
          <w:p w14:paraId="4F3D3A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14:paraId="7AFF213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90956" w14:paraId="64944D1D" w14:textId="77777777">
        <w:tc>
          <w:tcPr>
            <w:tcW w:w="2694" w:type="dxa"/>
          </w:tcPr>
          <w:p w14:paraId="3998A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14:paraId="303461A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D90956" w14:paraId="273F833A" w14:textId="77777777">
        <w:tc>
          <w:tcPr>
            <w:tcW w:w="2694" w:type="dxa"/>
          </w:tcPr>
          <w:p w14:paraId="285F49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14:paraId="6AA1BEE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14:paraId="5A25D4B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14:paraId="785F96F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630BF42"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14:paraId="1725FBF4"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D90956" w14:paraId="3B2B46C8" w14:textId="77777777">
        <w:tc>
          <w:tcPr>
            <w:tcW w:w="2694" w:type="dxa"/>
            <w:vAlign w:val="center"/>
          </w:tcPr>
          <w:p w14:paraId="4A9A1BC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14:paraId="152803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D90956" w14:paraId="23910763" w14:textId="77777777">
        <w:tc>
          <w:tcPr>
            <w:tcW w:w="2694" w:type="dxa"/>
          </w:tcPr>
          <w:p w14:paraId="06473C8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14:paraId="75E9C0A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w:t>
            </w:r>
            <w:r>
              <w:rPr>
                <w:rFonts w:ascii="Arial" w:eastAsia="Arial" w:hAnsi="Arial" w:cs="Arial"/>
                <w:color w:val="000000"/>
                <w:sz w:val="24"/>
                <w:szCs w:val="24"/>
              </w:rPr>
              <w:t>ed in the Order Form;</w:t>
            </w:r>
          </w:p>
        </w:tc>
      </w:tr>
      <w:tr w:rsidR="00D90956" w14:paraId="18D6148A" w14:textId="77777777">
        <w:tc>
          <w:tcPr>
            <w:tcW w:w="2694" w:type="dxa"/>
          </w:tcPr>
          <w:p w14:paraId="0DD51B5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"Statement of Requirements"</w:t>
            </w:r>
          </w:p>
        </w:tc>
        <w:tc>
          <w:tcPr>
            <w:tcW w:w="7371" w:type="dxa"/>
          </w:tcPr>
          <w:p w14:paraId="438678D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90956" w14:paraId="4130E903" w14:textId="77777777">
        <w:tc>
          <w:tcPr>
            <w:tcW w:w="2694" w:type="dxa"/>
          </w:tcPr>
          <w:p w14:paraId="67DEBC7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14:paraId="66F0DBE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90956" w14:paraId="1ABC139E" w14:textId="77777777">
        <w:tc>
          <w:tcPr>
            <w:tcW w:w="2694" w:type="dxa"/>
          </w:tcPr>
          <w:p w14:paraId="0C67E57F"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71" w:type="dxa"/>
          </w:tcPr>
          <w:p w14:paraId="08DBDE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75F78CE3"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34E4E397"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w:t>
            </w:r>
            <w:r>
              <w:rPr>
                <w:rFonts w:ascii="Arial" w:eastAsia="Arial" w:hAnsi="Arial" w:cs="Arial"/>
                <w:color w:val="000000"/>
                <w:sz w:val="24"/>
                <w:szCs w:val="24"/>
              </w:rPr>
              <w:t>vision of the Deliverables (or any part of them); and/or</w:t>
            </w:r>
          </w:p>
          <w:p w14:paraId="4BFBECE6"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90956" w14:paraId="1E4D6768" w14:textId="77777777">
        <w:tc>
          <w:tcPr>
            <w:tcW w:w="2694" w:type="dxa"/>
          </w:tcPr>
          <w:p w14:paraId="3C4942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14:paraId="618DF71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90956" w14:paraId="6C45B3ED" w14:textId="77777777">
        <w:tc>
          <w:tcPr>
            <w:tcW w:w="2694" w:type="dxa"/>
          </w:tcPr>
          <w:p w14:paraId="1A84B4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“Subject Access Request”</w:t>
            </w:r>
          </w:p>
        </w:tc>
        <w:tc>
          <w:tcPr>
            <w:tcW w:w="7371" w:type="dxa"/>
          </w:tcPr>
          <w:p w14:paraId="70183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D90956" w14:paraId="20420253" w14:textId="77777777">
        <w:tc>
          <w:tcPr>
            <w:tcW w:w="2694" w:type="dxa"/>
          </w:tcPr>
          <w:p w14:paraId="491482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w:t>
            </w:r>
            <w:r>
              <w:rPr>
                <w:rFonts w:ascii="Arial" w:eastAsia="Arial" w:hAnsi="Arial" w:cs="Arial"/>
                <w:b/>
                <w:color w:val="000000"/>
                <w:sz w:val="24"/>
                <w:szCs w:val="24"/>
              </w:rPr>
              <w:t>cessor"</w:t>
            </w:r>
          </w:p>
        </w:tc>
        <w:tc>
          <w:tcPr>
            <w:tcW w:w="7371" w:type="dxa"/>
          </w:tcPr>
          <w:p w14:paraId="32D7EA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90956" w14:paraId="6DB4F1E2" w14:textId="77777777">
        <w:tc>
          <w:tcPr>
            <w:tcW w:w="2694" w:type="dxa"/>
          </w:tcPr>
          <w:p w14:paraId="1F5FED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14:paraId="3E2D5F7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D90956" w14:paraId="59CE0CC6" w14:textId="77777777">
        <w:tc>
          <w:tcPr>
            <w:tcW w:w="2694" w:type="dxa"/>
          </w:tcPr>
          <w:p w14:paraId="51B063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14:paraId="76D80F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90956" w14:paraId="5FC499EE" w14:textId="77777777">
        <w:tc>
          <w:tcPr>
            <w:tcW w:w="2694" w:type="dxa"/>
          </w:tcPr>
          <w:p w14:paraId="50CCF1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14:paraId="616AF8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90956" w14:paraId="348BA472" w14:textId="77777777">
        <w:tc>
          <w:tcPr>
            <w:tcW w:w="2694" w:type="dxa"/>
            <w:vAlign w:val="center"/>
          </w:tcPr>
          <w:p w14:paraId="145238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14:paraId="31449B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a document that the Buyers will provide to Suppliers that outline’s their requirements in order for Suppliers to con</w:t>
            </w:r>
            <w:r>
              <w:rPr>
                <w:rFonts w:ascii="Arial" w:eastAsia="Arial" w:hAnsi="Arial" w:cs="Arial"/>
                <w:sz w:val="24"/>
                <w:szCs w:val="24"/>
              </w:rPr>
              <w:t xml:space="preserve">firm their intentions to bid (as outlined in Framework Schedule 7 – Call Off Award Procedure) which includes but is not limited to: </w:t>
            </w:r>
          </w:p>
          <w:p w14:paraId="3004182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14:paraId="282045D9"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14:paraId="792464F4"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14:paraId="0441DDA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14:paraId="6DE110A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organisation type;</w:t>
            </w:r>
          </w:p>
          <w:p w14:paraId="6E47DCD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14:paraId="55EFCA6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14:paraId="6B3457A2"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14:paraId="5212E4FA"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14:paraId="39E71FD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14:paraId="72BE4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14:paraId="07DDA19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14:paraId="5C8BEDFF"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14:paraId="7F3643EC"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14:paraId="5FD8B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14:paraId="1718332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14:paraId="166ED26F" w14:textId="77777777" w:rsidR="00D90956" w:rsidRDefault="00D90956">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2D5A0FE2" w14:textId="77777777">
        <w:tc>
          <w:tcPr>
            <w:tcW w:w="2694" w:type="dxa"/>
          </w:tcPr>
          <w:p w14:paraId="6C3085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371" w:type="dxa"/>
          </w:tcPr>
          <w:p w14:paraId="1C70030E" w14:textId="77777777" w:rsidR="00D90956" w:rsidRDefault="00D90956">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14:paraId="1031EF41"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 any other information clearly designated as b</w:t>
            </w:r>
            <w:r>
              <w:rPr>
                <w:rFonts w:ascii="Arial" w:eastAsia="Arial" w:hAnsi="Arial" w:cs="Arial"/>
                <w:color w:val="000000"/>
                <w:sz w:val="24"/>
                <w:szCs w:val="24"/>
              </w:rPr>
              <w:t>eing confidential (whether or not it is marked as "confidential") or which ought reasonably to be considered to be confidential and which comes (or has come) to the Supplier’s attention or into the Supplier’s possession in connection with a Contract;</w:t>
            </w:r>
          </w:p>
          <w:p w14:paraId="66B448CF"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Infor</w:t>
            </w:r>
            <w:r>
              <w:rPr>
                <w:rFonts w:ascii="Arial" w:eastAsia="Arial" w:hAnsi="Arial" w:cs="Arial"/>
                <w:color w:val="000000"/>
                <w:sz w:val="24"/>
                <w:szCs w:val="24"/>
              </w:rPr>
              <w:t>mation derived from any of (a) and (b) above;</w:t>
            </w:r>
          </w:p>
        </w:tc>
      </w:tr>
      <w:tr w:rsidR="00D90956" w14:paraId="58DA26CC" w14:textId="77777777">
        <w:tc>
          <w:tcPr>
            <w:tcW w:w="2694" w:type="dxa"/>
          </w:tcPr>
          <w:p w14:paraId="73200D0B" w14:textId="77777777" w:rsidR="00D90956" w:rsidRDefault="00185F51">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14:paraId="2FA144D3" w14:textId="77777777" w:rsidR="00D90956" w:rsidRDefault="00185F51">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D90956" w14:paraId="1E64BAA7" w14:textId="77777777">
        <w:tc>
          <w:tcPr>
            <w:tcW w:w="2694" w:type="dxa"/>
          </w:tcPr>
          <w:p w14:paraId="440F39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14:paraId="1715121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90956" w14:paraId="1894B4D0" w14:textId="77777777">
        <w:tc>
          <w:tcPr>
            <w:tcW w:w="2694" w:type="dxa"/>
          </w:tcPr>
          <w:p w14:paraId="19596386"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bookmarkStart w:id="13" w:name="_heading=h.gjdgxs" w:colFirst="0" w:colLast="0"/>
            <w:bookmarkEnd w:id="13"/>
            <w:r>
              <w:rPr>
                <w:rFonts w:ascii="Arial" w:eastAsia="Arial" w:hAnsi="Arial" w:cs="Arial"/>
                <w:b/>
                <w:color w:val="000000"/>
                <w:sz w:val="24"/>
                <w:szCs w:val="24"/>
              </w:rPr>
              <w:lastRenderedPageBreak/>
              <w:t>"Supplier Marketing Contact"</w:t>
            </w:r>
          </w:p>
        </w:tc>
        <w:tc>
          <w:tcPr>
            <w:tcW w:w="7371" w:type="dxa"/>
          </w:tcPr>
          <w:p w14:paraId="154BD0C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90956" w14:paraId="5C87F09D" w14:textId="77777777">
        <w:tc>
          <w:tcPr>
            <w:tcW w:w="2694" w:type="dxa"/>
          </w:tcPr>
          <w:p w14:paraId="1BE95F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14:paraId="6304D70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4BBA2A11"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14:paraId="3FECB80D"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14:paraId="775D9772"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D90956" w14:paraId="0150C895" w14:textId="77777777">
        <w:tc>
          <w:tcPr>
            <w:tcW w:w="2694" w:type="dxa"/>
          </w:tcPr>
          <w:p w14:paraId="6626AF2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14:paraId="7519FEC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90956" w14:paraId="495C9FF9" w14:textId="77777777">
        <w:tc>
          <w:tcPr>
            <w:tcW w:w="2694" w:type="dxa"/>
          </w:tcPr>
          <w:p w14:paraId="132BA1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14:paraId="0BF176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D90956" w14:paraId="29AA71B8" w14:textId="77777777">
        <w:tc>
          <w:tcPr>
            <w:tcW w:w="2694" w:type="dxa"/>
          </w:tcPr>
          <w:p w14:paraId="0171F8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 or “Supplier Personnel”</w:t>
            </w:r>
          </w:p>
        </w:tc>
        <w:tc>
          <w:tcPr>
            <w:tcW w:w="7371" w:type="dxa"/>
          </w:tcPr>
          <w:p w14:paraId="0C656A4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90956" w14:paraId="415FE7F1" w14:textId="77777777">
        <w:tc>
          <w:tcPr>
            <w:tcW w:w="2694" w:type="dxa"/>
          </w:tcPr>
          <w:p w14:paraId="0AD97B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“Supply Chain Management”</w:t>
            </w:r>
          </w:p>
        </w:tc>
        <w:tc>
          <w:tcPr>
            <w:tcW w:w="7371" w:type="dxa"/>
          </w:tcPr>
          <w:p w14:paraId="5475AC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w:t>
            </w:r>
            <w:r>
              <w:rPr>
                <w:rFonts w:ascii="Arial" w:eastAsia="Arial" w:hAnsi="Arial" w:cs="Arial"/>
                <w:color w:val="202124"/>
                <w:sz w:val="24"/>
                <w:szCs w:val="24"/>
                <w:highlight w:val="white"/>
              </w:rPr>
              <w:t>on flow of a good or service to maximize quality, delivery, customer experience and cost-effectiveness;</w:t>
            </w:r>
          </w:p>
        </w:tc>
      </w:tr>
      <w:tr w:rsidR="00D90956" w14:paraId="2B0BE3B8" w14:textId="77777777">
        <w:tc>
          <w:tcPr>
            <w:tcW w:w="2694" w:type="dxa"/>
          </w:tcPr>
          <w:p w14:paraId="1751E2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14:paraId="3B5E486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w:t>
            </w:r>
            <w:r>
              <w:rPr>
                <w:rFonts w:ascii="Arial" w:eastAsia="Arial" w:hAnsi="Arial" w:cs="Arial"/>
                <w:color w:val="000000"/>
                <w:sz w:val="24"/>
                <w:szCs w:val="24"/>
              </w:rPr>
              <w:t>her sums due from the Buyer under the Call-Off Contract detailed in the information are properly payable;</w:t>
            </w:r>
          </w:p>
        </w:tc>
      </w:tr>
      <w:tr w:rsidR="00D90956" w14:paraId="57793A8D" w14:textId="77777777">
        <w:tc>
          <w:tcPr>
            <w:tcW w:w="2694" w:type="dxa"/>
            <w:vAlign w:val="center"/>
          </w:tcPr>
          <w:p w14:paraId="022BD6F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14:paraId="66E1D83B"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13132D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D90956" w14:paraId="0379D48B" w14:textId="77777777">
        <w:tc>
          <w:tcPr>
            <w:tcW w:w="2694" w:type="dxa"/>
            <w:vAlign w:val="center"/>
          </w:tcPr>
          <w:p w14:paraId="60C80D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14:paraId="75ACDBD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D90956" w14:paraId="7DD53138" w14:textId="77777777">
        <w:tc>
          <w:tcPr>
            <w:tcW w:w="2694" w:type="dxa"/>
            <w:vAlign w:val="center"/>
          </w:tcPr>
          <w:p w14:paraId="73DB9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14:paraId="4A280F0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D90956" w14:paraId="54A10ED8" w14:textId="77777777">
        <w:tc>
          <w:tcPr>
            <w:tcW w:w="2694" w:type="dxa"/>
          </w:tcPr>
          <w:p w14:paraId="76CE1B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“Tax”</w:t>
            </w:r>
          </w:p>
        </w:tc>
        <w:tc>
          <w:tcPr>
            <w:tcW w:w="7371" w:type="dxa"/>
          </w:tcPr>
          <w:p w14:paraId="5C055F92"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55305DA6"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3B857B94"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w:t>
            </w:r>
            <w:r>
              <w:rPr>
                <w:rFonts w:ascii="Arial" w:eastAsia="Arial" w:hAnsi="Arial" w:cs="Arial"/>
                <w:color w:val="000000"/>
                <w:sz w:val="24"/>
                <w:szCs w:val="24"/>
              </w:rPr>
              <w:t>municipal charges, duties, imports, contributions. levies or liabilities (other than in return  for goods or Services supplied or performed or to be performed) and withholdings; and</w:t>
            </w:r>
          </w:p>
          <w:p w14:paraId="0AE2A12E"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w:t>
            </w:r>
            <w:r>
              <w:rPr>
                <w:rFonts w:ascii="Arial" w:eastAsia="Arial" w:hAnsi="Arial" w:cs="Arial"/>
                <w:color w:val="000000"/>
                <w:sz w:val="24"/>
                <w:szCs w:val="24"/>
              </w:rPr>
              <w:t>f the above,</w:t>
            </w:r>
          </w:p>
          <w:p w14:paraId="334E0EF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90956" w14:paraId="05741743" w14:textId="77777777">
        <w:tc>
          <w:tcPr>
            <w:tcW w:w="2694" w:type="dxa"/>
          </w:tcPr>
          <w:p w14:paraId="41C34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14:paraId="7C1324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90956" w14:paraId="19CCA9BA" w14:textId="77777777">
        <w:tc>
          <w:tcPr>
            <w:tcW w:w="2694" w:type="dxa"/>
          </w:tcPr>
          <w:p w14:paraId="51AD21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371" w:type="dxa"/>
          </w:tcPr>
          <w:p w14:paraId="79DFCD1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90956" w14:paraId="36CB142E" w14:textId="77777777">
        <w:tc>
          <w:tcPr>
            <w:tcW w:w="2694" w:type="dxa"/>
          </w:tcPr>
          <w:p w14:paraId="5B98167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14:paraId="74A2C1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14:paraId="22E719E8" w14:textId="77777777" w:rsidR="00D90956" w:rsidRDefault="00185F51">
            <w:pPr>
              <w:numPr>
                <w:ilvl w:val="1"/>
                <w:numId w:val="8"/>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16D9A63C" w14:textId="77777777" w:rsidR="00D90956" w:rsidRDefault="00185F51">
            <w:pPr>
              <w:numPr>
                <w:ilvl w:val="1"/>
                <w:numId w:val="8"/>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D90956" w14:paraId="4670508A" w14:textId="77777777">
        <w:tc>
          <w:tcPr>
            <w:tcW w:w="2694" w:type="dxa"/>
          </w:tcPr>
          <w:p w14:paraId="27D1EE0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14:paraId="3BA5105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90956" w14:paraId="000A412E" w14:textId="77777777">
        <w:tc>
          <w:tcPr>
            <w:tcW w:w="2694" w:type="dxa"/>
          </w:tcPr>
          <w:p w14:paraId="5DCE98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14:paraId="59C89B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D90956" w14:paraId="0DDC7023" w14:textId="77777777">
        <w:tc>
          <w:tcPr>
            <w:tcW w:w="2694" w:type="dxa"/>
            <w:vAlign w:val="center"/>
          </w:tcPr>
          <w:p w14:paraId="24732DB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14:paraId="71ACD10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means Billable Works within the associated total estimated value range as set out in the </w:t>
            </w:r>
            <w:r>
              <w:rPr>
                <w:rFonts w:ascii="Arial" w:eastAsia="Arial" w:hAnsi="Arial" w:cs="Arial"/>
                <w:sz w:val="24"/>
                <w:szCs w:val="24"/>
              </w:rPr>
              <w:t>Order Form;</w:t>
            </w:r>
          </w:p>
        </w:tc>
      </w:tr>
      <w:tr w:rsidR="00D90956" w14:paraId="0C48BE98" w14:textId="77777777">
        <w:tc>
          <w:tcPr>
            <w:tcW w:w="2694" w:type="dxa"/>
            <w:vAlign w:val="center"/>
          </w:tcPr>
          <w:p w14:paraId="5CC699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14:paraId="4A0711F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21ECD2D9" w14:textId="77777777">
        <w:tc>
          <w:tcPr>
            <w:tcW w:w="2694" w:type="dxa"/>
            <w:vAlign w:val="center"/>
          </w:tcPr>
          <w:p w14:paraId="5DC497D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14:paraId="5A02365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093493E3" w14:textId="77777777">
        <w:tc>
          <w:tcPr>
            <w:tcW w:w="2694" w:type="dxa"/>
            <w:vAlign w:val="center"/>
          </w:tcPr>
          <w:p w14:paraId="15619D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"Tier Four Billable Works"</w:t>
            </w:r>
          </w:p>
        </w:tc>
        <w:tc>
          <w:tcPr>
            <w:tcW w:w="7371" w:type="dxa"/>
            <w:vAlign w:val="center"/>
          </w:tcPr>
          <w:p w14:paraId="5CECF30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673943E6" w14:textId="77777777">
        <w:tc>
          <w:tcPr>
            <w:tcW w:w="2694" w:type="dxa"/>
            <w:vAlign w:val="center"/>
          </w:tcPr>
          <w:p w14:paraId="411A29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14:paraId="23B163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D90956" w14:paraId="5997EA1D" w14:textId="77777777">
        <w:tc>
          <w:tcPr>
            <w:tcW w:w="2694" w:type="dxa"/>
          </w:tcPr>
          <w:p w14:paraId="1AEEAA7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7371" w:type="dxa"/>
          </w:tcPr>
          <w:p w14:paraId="510F7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D90956" w14:paraId="14CD57E4" w14:textId="77777777">
        <w:tc>
          <w:tcPr>
            <w:tcW w:w="2694" w:type="dxa"/>
          </w:tcPr>
          <w:p w14:paraId="33FD33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Former Supplier Employees"</w:t>
            </w:r>
          </w:p>
        </w:tc>
        <w:tc>
          <w:tcPr>
            <w:tcW w:w="7371" w:type="dxa"/>
          </w:tcPr>
          <w:p w14:paraId="13A3FA7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In relation to a Former Supplier, those employees of the Former Supplier to whom the Employment Regulations </w:t>
            </w:r>
            <w:r>
              <w:rPr>
                <w:rFonts w:ascii="Arial" w:eastAsia="Arial" w:hAnsi="Arial" w:cs="Arial"/>
                <w:color w:val="000000"/>
                <w:sz w:val="24"/>
                <w:szCs w:val="24"/>
              </w:rPr>
              <w:t>will apply on the Relevant Transfer Date.</w:t>
            </w:r>
          </w:p>
        </w:tc>
      </w:tr>
      <w:tr w:rsidR="00D90956" w14:paraId="2C7E0649" w14:textId="77777777">
        <w:tc>
          <w:tcPr>
            <w:tcW w:w="2694" w:type="dxa"/>
          </w:tcPr>
          <w:p w14:paraId="24B18E7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14:paraId="4AB2128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D90956" w14:paraId="2607BB90" w14:textId="77777777">
        <w:tc>
          <w:tcPr>
            <w:tcW w:w="2694" w:type="dxa"/>
          </w:tcPr>
          <w:p w14:paraId="79C3E3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14:paraId="6AF3F76F" w14:textId="77777777" w:rsidR="00D90956" w:rsidRDefault="00185F51">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2C683DE9"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w:t>
            </w:r>
            <w:r>
              <w:rPr>
                <w:rFonts w:ascii="Arial" w:eastAsia="Arial" w:hAnsi="Arial" w:cs="Arial"/>
                <w:color w:val="000000"/>
                <w:sz w:val="24"/>
                <w:szCs w:val="24"/>
              </w:rPr>
              <w:t>OIA, which shall be determined by the Relevant Authority; and</w:t>
            </w:r>
          </w:p>
          <w:p w14:paraId="361BCC5E"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637BF8E1" w14:textId="77777777" w:rsidR="00D90956" w:rsidRDefault="00D90956">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5D565C27" w14:textId="77777777">
        <w:tc>
          <w:tcPr>
            <w:tcW w:w="2694" w:type="dxa"/>
          </w:tcPr>
          <w:p w14:paraId="11B3456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14:paraId="257A3BD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90956" w14:paraId="09B2FCC6" w14:textId="77777777">
        <w:tc>
          <w:tcPr>
            <w:tcW w:w="2694" w:type="dxa"/>
          </w:tcPr>
          <w:p w14:paraId="551A3515"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“TUPE”</w:t>
            </w:r>
          </w:p>
        </w:tc>
        <w:tc>
          <w:tcPr>
            <w:tcW w:w="7371" w:type="dxa"/>
          </w:tcPr>
          <w:p w14:paraId="69735C90"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D90956" w14:paraId="56F7B40A" w14:textId="77777777">
        <w:tc>
          <w:tcPr>
            <w:tcW w:w="2694" w:type="dxa"/>
            <w:vAlign w:val="center"/>
          </w:tcPr>
          <w:p w14:paraId="3297E01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sz w:val="24"/>
                <w:szCs w:val="24"/>
              </w:rPr>
              <w:t>"</w:t>
            </w:r>
            <w:r>
              <w:rPr>
                <w:rFonts w:ascii="Arial" w:eastAsia="Arial" w:hAnsi="Arial" w:cs="Arial"/>
                <w:b/>
                <w:sz w:val="24"/>
                <w:szCs w:val="24"/>
              </w:rPr>
              <w:t>TUPE Count"</w:t>
            </w:r>
          </w:p>
        </w:tc>
        <w:tc>
          <w:tcPr>
            <w:tcW w:w="7371" w:type="dxa"/>
            <w:vAlign w:val="center"/>
          </w:tcPr>
          <w:p w14:paraId="077CB9FC"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the total number of Transferring Former Supp</w:t>
            </w:r>
            <w:r>
              <w:rPr>
                <w:rFonts w:ascii="Arial" w:eastAsia="Arial" w:hAnsi="Arial" w:cs="Arial"/>
                <w:sz w:val="24"/>
                <w:szCs w:val="24"/>
              </w:rPr>
              <w:t>lier Employees and/or Transferring Employer Employees identified in the TUPE Information;</w:t>
            </w:r>
          </w:p>
        </w:tc>
      </w:tr>
      <w:tr w:rsidR="00D90956" w14:paraId="1F713E9B" w14:textId="77777777">
        <w:tc>
          <w:tcPr>
            <w:tcW w:w="2694" w:type="dxa"/>
          </w:tcPr>
          <w:p w14:paraId="77C2C603"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w:t>
            </w:r>
          </w:p>
        </w:tc>
        <w:tc>
          <w:tcPr>
            <w:tcW w:w="7371" w:type="dxa"/>
          </w:tcPr>
          <w:p w14:paraId="06334DE4" w14:textId="77777777" w:rsidR="00D90956" w:rsidRDefault="00185F51">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either the:</w:t>
            </w:r>
          </w:p>
          <w:p w14:paraId="793FCD69"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14:paraId="1FB82E15"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b)       Further Competition TUPE Risk Premium; or</w:t>
            </w:r>
          </w:p>
          <w:p w14:paraId="77CC95B2"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Fixed Fee TUPE Risk Premium,</w:t>
            </w:r>
          </w:p>
          <w:p w14:paraId="7E97C519" w14:textId="77777777" w:rsidR="00D90956" w:rsidRDefault="00185F51">
            <w:pPr>
              <w:ind w:left="992" w:right="282" w:hanging="708"/>
              <w:rPr>
                <w:rFonts w:ascii="Arial" w:eastAsia="Arial" w:hAnsi="Arial" w:cs="Arial"/>
                <w:color w:val="202124"/>
                <w:sz w:val="24"/>
                <w:szCs w:val="24"/>
              </w:rPr>
            </w:pPr>
            <w:r>
              <w:rPr>
                <w:rFonts w:ascii="Arial" w:eastAsia="Arial" w:hAnsi="Arial" w:cs="Arial"/>
                <w:sz w:val="24"/>
                <w:szCs w:val="24"/>
              </w:rPr>
              <w:t>as the context requires;</w:t>
            </w:r>
          </w:p>
        </w:tc>
      </w:tr>
      <w:tr w:rsidR="00D90956" w14:paraId="76344F10" w14:textId="77777777">
        <w:tc>
          <w:tcPr>
            <w:tcW w:w="2694" w:type="dxa"/>
          </w:tcPr>
          <w:p w14:paraId="567B70C9"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lastRenderedPageBreak/>
              <w:t>"TUPE Risk Premium Adjustment"</w:t>
            </w:r>
          </w:p>
        </w:tc>
        <w:tc>
          <w:tcPr>
            <w:tcW w:w="7371" w:type="dxa"/>
          </w:tcPr>
          <w:p w14:paraId="58A2BCDD"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an adjustment to the Further Competition TUPE Risk Premium;</w:t>
            </w:r>
          </w:p>
        </w:tc>
      </w:tr>
      <w:tr w:rsidR="00D90956" w14:paraId="2FA25F17" w14:textId="77777777">
        <w:tc>
          <w:tcPr>
            <w:tcW w:w="2694" w:type="dxa"/>
          </w:tcPr>
          <w:p w14:paraId="4FC9FE6A"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Average"</w:t>
            </w:r>
          </w:p>
        </w:tc>
        <w:tc>
          <w:tcPr>
            <w:tcW w:w="7371" w:type="dxa"/>
          </w:tcPr>
          <w:p w14:paraId="44BD5CEA" w14:textId="23956D34" w:rsidR="00D90956" w:rsidRDefault="00185F51" w:rsidP="007E0C7C">
            <w:pPr>
              <w:ind w:left="283" w:right="282" w:firstLine="2"/>
              <w:rPr>
                <w:rFonts w:ascii="Arial" w:eastAsia="Arial" w:hAnsi="Arial" w:cs="Arial"/>
                <w:sz w:val="24"/>
                <w:szCs w:val="24"/>
              </w:rPr>
            </w:pPr>
            <w:r>
              <w:rPr>
                <w:rFonts w:ascii="Arial" w:eastAsia="Arial" w:hAnsi="Arial" w:cs="Arial"/>
                <w:sz w:val="24"/>
                <w:szCs w:val="24"/>
              </w:rPr>
              <w:t>means the average calculated by dividing the Further Competition TUPE Risk Premium by the TUPE Count</w:t>
            </w:r>
          </w:p>
        </w:tc>
      </w:tr>
      <w:tr w:rsidR="00D90956" w14:paraId="43D7EC25" w14:textId="77777777">
        <w:tc>
          <w:tcPr>
            <w:tcW w:w="2694" w:type="dxa"/>
          </w:tcPr>
          <w:p w14:paraId="0326C64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“United Kingdom”</w:t>
            </w:r>
          </w:p>
        </w:tc>
        <w:tc>
          <w:tcPr>
            <w:tcW w:w="7371" w:type="dxa"/>
          </w:tcPr>
          <w:p w14:paraId="0191723B"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D90956" w14:paraId="5CB9A40D" w14:textId="77777777">
        <w:tc>
          <w:tcPr>
            <w:tcW w:w="2694" w:type="dxa"/>
          </w:tcPr>
          <w:p w14:paraId="4D8B2672"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“UOM”</w:t>
            </w:r>
          </w:p>
        </w:tc>
        <w:tc>
          <w:tcPr>
            <w:tcW w:w="7371" w:type="dxa"/>
          </w:tcPr>
          <w:p w14:paraId="6E4EB66F"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the applicable unit of measure as defined in Framework Schedule (Framework Prices)</w:t>
            </w:r>
          </w:p>
        </w:tc>
      </w:tr>
      <w:tr w:rsidR="00D90956" w14:paraId="507BD313" w14:textId="77777777">
        <w:tc>
          <w:tcPr>
            <w:tcW w:w="2694" w:type="dxa"/>
          </w:tcPr>
          <w:p w14:paraId="58D77DE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“Value Added Services”</w:t>
            </w:r>
          </w:p>
        </w:tc>
        <w:tc>
          <w:tcPr>
            <w:tcW w:w="7371" w:type="dxa"/>
          </w:tcPr>
          <w:p w14:paraId="5E071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D90956" w14:paraId="56208DA4" w14:textId="77777777">
        <w:tc>
          <w:tcPr>
            <w:tcW w:w="2694" w:type="dxa"/>
          </w:tcPr>
          <w:p w14:paraId="395D6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14:paraId="504DDCE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D90956" w14:paraId="5747DFBC" w14:textId="77777777">
        <w:tc>
          <w:tcPr>
            <w:tcW w:w="2694" w:type="dxa"/>
          </w:tcPr>
          <w:p w14:paraId="39E6B2D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14:paraId="62685313"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90956" w14:paraId="1423FC9C" w14:textId="77777777">
        <w:tc>
          <w:tcPr>
            <w:tcW w:w="2694" w:type="dxa"/>
          </w:tcPr>
          <w:p w14:paraId="7B5F15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14:paraId="09C2E0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90956" w14:paraId="1440085D" w14:textId="77777777">
        <w:tc>
          <w:tcPr>
            <w:tcW w:w="2694" w:type="dxa"/>
          </w:tcPr>
          <w:p w14:paraId="439EB2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14:paraId="3A2764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90956" w14:paraId="1CEB1CA4" w14:textId="77777777">
        <w:tc>
          <w:tcPr>
            <w:tcW w:w="2694" w:type="dxa"/>
          </w:tcPr>
          <w:p w14:paraId="778D8D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14:paraId="0C6F17A7"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90956" w14:paraId="0297E19B" w14:textId="77777777">
        <w:tc>
          <w:tcPr>
            <w:tcW w:w="2694" w:type="dxa"/>
          </w:tcPr>
          <w:p w14:paraId="02B6712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“WCAG Principles”</w:t>
            </w:r>
          </w:p>
        </w:tc>
        <w:tc>
          <w:tcPr>
            <w:tcW w:w="7371" w:type="dxa"/>
          </w:tcPr>
          <w:p w14:paraId="2C20D4FE" w14:textId="77777777" w:rsidR="00D90956" w:rsidRDefault="00185F51">
            <w:pPr>
              <w:tabs>
                <w:tab w:val="left" w:pos="284"/>
              </w:tabs>
              <w:ind w:left="284" w:right="141"/>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w:t>
            </w:r>
            <w:r>
              <w:rPr>
                <w:rFonts w:ascii="Arial" w:eastAsia="Arial" w:hAnsi="Arial" w:cs="Arial"/>
                <w:color w:val="202124"/>
                <w:sz w:val="24"/>
                <w:szCs w:val="24"/>
                <w:highlight w:val="white"/>
              </w:rPr>
              <w:t>ples, which state that content must be POUR: Perceivable, Operable, Understandable, and Robust. WCAG is the most-referenced set of standards in website accessibility lawsuits and is widely considered the best way to achieve accessibility;</w:t>
            </w:r>
          </w:p>
        </w:tc>
      </w:tr>
      <w:tr w:rsidR="00D90956" w14:paraId="4ABB4BBE" w14:textId="77777777">
        <w:tc>
          <w:tcPr>
            <w:tcW w:w="2694" w:type="dxa"/>
            <w:vAlign w:val="center"/>
          </w:tcPr>
          <w:p w14:paraId="17B6ACC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14:paraId="56104F33"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has the meaning given to it in the Waste (England and Wales) Regulations 2011, as amended from time to time;</w:t>
            </w:r>
          </w:p>
        </w:tc>
      </w:tr>
      <w:tr w:rsidR="00D90956" w14:paraId="2BCEE9D0" w14:textId="77777777">
        <w:tc>
          <w:tcPr>
            <w:tcW w:w="2694" w:type="dxa"/>
            <w:vAlign w:val="center"/>
          </w:tcPr>
          <w:p w14:paraId="0E55874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“Works Arising from Planned Maintenance”</w:t>
            </w:r>
          </w:p>
        </w:tc>
        <w:tc>
          <w:tcPr>
            <w:tcW w:w="7371" w:type="dxa"/>
            <w:vAlign w:val="center"/>
          </w:tcPr>
          <w:p w14:paraId="02344F32"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D90956" w14:paraId="5E07E917" w14:textId="77777777">
        <w:tc>
          <w:tcPr>
            <w:tcW w:w="2694" w:type="dxa"/>
          </w:tcPr>
          <w:p w14:paraId="3BEC905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14:paraId="7D69C718"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w:t>
            </w:r>
            <w:r>
              <w:rPr>
                <w:rFonts w:ascii="Arial" w:eastAsia="Arial" w:hAnsi="Arial" w:cs="Arial"/>
                <w:color w:val="000000"/>
                <w:sz w:val="24"/>
                <w:szCs w:val="24"/>
              </w:rPr>
              <w:lastRenderedPageBreak/>
              <w:t>policy-note</w:t>
            </w:r>
            <w:r>
              <w:rPr>
                <w:rFonts w:ascii="Arial" w:eastAsia="Arial" w:hAnsi="Arial" w:cs="Arial"/>
                <w:color w:val="000000"/>
                <w:sz w:val="24"/>
                <w:szCs w:val="24"/>
              </w:rPr>
              <w:t>-0815-tax-arrangements-of-appointees) applies in respect of the Deliverables;</w:t>
            </w:r>
          </w:p>
        </w:tc>
      </w:tr>
      <w:tr w:rsidR="00D90956" w14:paraId="257AAD5A" w14:textId="77777777">
        <w:tc>
          <w:tcPr>
            <w:tcW w:w="2694" w:type="dxa"/>
          </w:tcPr>
          <w:p w14:paraId="7085FD7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371" w:type="dxa"/>
          </w:tcPr>
          <w:p w14:paraId="5F5A47A0"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90956" w14:paraId="0A69DE26" w14:textId="77777777">
        <w:tc>
          <w:tcPr>
            <w:tcW w:w="2694" w:type="dxa"/>
          </w:tcPr>
          <w:p w14:paraId="6E5922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Hours"</w:t>
            </w:r>
          </w:p>
        </w:tc>
        <w:tc>
          <w:tcPr>
            <w:tcW w:w="7371" w:type="dxa"/>
          </w:tcPr>
          <w:p w14:paraId="6C9022D0" w14:textId="77777777" w:rsidR="00D90956" w:rsidRDefault="00185F51">
            <w:pPr>
              <w:spacing w:after="120"/>
              <w:ind w:left="360"/>
              <w:rPr>
                <w:rFonts w:ascii="Arial" w:eastAsia="Arial" w:hAnsi="Arial" w:cs="Arial"/>
                <w:color w:val="000000"/>
                <w:sz w:val="24"/>
                <w:szCs w:val="24"/>
              </w:rPr>
            </w:pPr>
            <w:r>
              <w:rPr>
                <w:rFonts w:ascii="Arial" w:eastAsia="Arial" w:hAnsi="Arial" w:cs="Arial"/>
                <w:color w:val="000000"/>
                <w:sz w:val="24"/>
                <w:szCs w:val="24"/>
              </w:rPr>
              <w:t>standard hours of business of the Buyer at each Buyer Premises as defined by the Buyer at Further Competition. </w:t>
            </w:r>
          </w:p>
          <w:p w14:paraId="7094756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D90956" w14:paraId="1282B35E" w14:textId="77777777">
        <w:tc>
          <w:tcPr>
            <w:tcW w:w="2694" w:type="dxa"/>
          </w:tcPr>
          <w:p w14:paraId="1A7BFB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14:paraId="216DF5FD"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D90956" w14:paraId="09886450" w14:textId="77777777">
        <w:tc>
          <w:tcPr>
            <w:tcW w:w="2694" w:type="dxa"/>
          </w:tcPr>
          <w:p w14:paraId="3B27E9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14:paraId="0532D0F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14:paraId="507D01D7" w14:textId="77777777" w:rsidR="00D90956" w:rsidRDefault="00D90956">
      <w:pPr>
        <w:spacing w:after="0" w:line="240" w:lineRule="auto"/>
        <w:rPr>
          <w:rFonts w:ascii="Arial" w:eastAsia="Arial" w:hAnsi="Arial" w:cs="Arial"/>
          <w:sz w:val="24"/>
          <w:szCs w:val="24"/>
        </w:rPr>
      </w:pPr>
    </w:p>
    <w:sectPr w:rsidR="00D9095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9951" w14:textId="77777777" w:rsidR="00185F51" w:rsidRDefault="00185F51">
      <w:pPr>
        <w:spacing w:after="0" w:line="240" w:lineRule="auto"/>
      </w:pPr>
      <w:r>
        <w:separator/>
      </w:r>
    </w:p>
  </w:endnote>
  <w:endnote w:type="continuationSeparator" w:id="0">
    <w:p w14:paraId="202D0A40" w14:textId="77777777" w:rsidR="00185F51" w:rsidRDefault="00185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C49B"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9180" w14:textId="77777777" w:rsidR="00D90956" w:rsidRDefault="00185F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4BFDA4DB"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5339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CAA38BA"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4BC2" w14:textId="77777777" w:rsidR="00D90956" w:rsidRDefault="00185F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79BD4B75"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6E04BC9D"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FF9F2" w14:textId="77777777" w:rsidR="00185F51" w:rsidRDefault="00185F51">
      <w:pPr>
        <w:spacing w:after="0" w:line="240" w:lineRule="auto"/>
      </w:pPr>
      <w:r>
        <w:separator/>
      </w:r>
    </w:p>
  </w:footnote>
  <w:footnote w:type="continuationSeparator" w:id="0">
    <w:p w14:paraId="65A50E4E" w14:textId="77777777" w:rsidR="00185F51" w:rsidRDefault="00185F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22FB0"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C49F"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428DDC0E" w14:textId="77777777" w:rsidR="00D90956" w:rsidRDefault="00185F51">
    <w:pPr>
      <w:rPr>
        <w:rFonts w:ascii="Arial" w:eastAsia="Arial" w:hAnsi="Arial" w:cs="Arial"/>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2021</w:t>
    </w:r>
  </w:p>
  <w:p w14:paraId="573FEC30" w14:textId="77777777" w:rsidR="00D90956" w:rsidRDefault="00185F51">
    <w:pPr>
      <w:rPr>
        <w:rFonts w:ascii="Arial" w:eastAsia="Arial" w:hAnsi="Arial" w:cs="Arial"/>
        <w:color w:val="BFBFBF"/>
        <w:sz w:val="20"/>
        <w:szCs w:val="20"/>
      </w:rPr>
    </w:pPr>
    <w:r>
      <w:rPr>
        <w:rFonts w:ascii="Arial" w:eastAsia="Arial" w:hAnsi="Arial" w:cs="Arial"/>
        <w:sz w:val="20"/>
        <w:szCs w:val="20"/>
      </w:rPr>
      <w:t>OFFICIAL -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DD1B1"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A92468D" w14:textId="77777777" w:rsidR="00D90956" w:rsidRDefault="00185F5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3BC"/>
    <w:multiLevelType w:val="multilevel"/>
    <w:tmpl w:val="408ED4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03143"/>
    <w:multiLevelType w:val="multilevel"/>
    <w:tmpl w:val="4EFEB8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306C1A"/>
    <w:multiLevelType w:val="multilevel"/>
    <w:tmpl w:val="CB40CC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D76D37"/>
    <w:multiLevelType w:val="multilevel"/>
    <w:tmpl w:val="5712D6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931579"/>
    <w:multiLevelType w:val="multilevel"/>
    <w:tmpl w:val="0AC6CD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A10AC9"/>
    <w:multiLevelType w:val="multilevel"/>
    <w:tmpl w:val="CBF287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A0113E"/>
    <w:multiLevelType w:val="multilevel"/>
    <w:tmpl w:val="613A670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1E416023"/>
    <w:multiLevelType w:val="multilevel"/>
    <w:tmpl w:val="D62E49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16426C7"/>
    <w:multiLevelType w:val="multilevel"/>
    <w:tmpl w:val="953247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B468F5"/>
    <w:multiLevelType w:val="multilevel"/>
    <w:tmpl w:val="7C181F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C33A63"/>
    <w:multiLevelType w:val="multilevel"/>
    <w:tmpl w:val="382E88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983CD2"/>
    <w:multiLevelType w:val="multilevel"/>
    <w:tmpl w:val="1338C2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C967F2"/>
    <w:multiLevelType w:val="multilevel"/>
    <w:tmpl w:val="D8EC84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EE43CD"/>
    <w:multiLevelType w:val="multilevel"/>
    <w:tmpl w:val="AB06B5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20373A"/>
    <w:multiLevelType w:val="multilevel"/>
    <w:tmpl w:val="E444B5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F027767"/>
    <w:multiLevelType w:val="multilevel"/>
    <w:tmpl w:val="E16A4A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D66581"/>
    <w:multiLevelType w:val="multilevel"/>
    <w:tmpl w:val="994EAF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887451"/>
    <w:multiLevelType w:val="multilevel"/>
    <w:tmpl w:val="0B4A81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0C255D"/>
    <w:multiLevelType w:val="multilevel"/>
    <w:tmpl w:val="487C15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F1014C"/>
    <w:multiLevelType w:val="multilevel"/>
    <w:tmpl w:val="FB64E7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E60B24"/>
    <w:multiLevelType w:val="multilevel"/>
    <w:tmpl w:val="1CBA73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4C3328"/>
    <w:multiLevelType w:val="multilevel"/>
    <w:tmpl w:val="70CEF06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5A0652AA"/>
    <w:multiLevelType w:val="multilevel"/>
    <w:tmpl w:val="097C5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137207"/>
    <w:multiLevelType w:val="multilevel"/>
    <w:tmpl w:val="A0C050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7D1457"/>
    <w:multiLevelType w:val="multilevel"/>
    <w:tmpl w:val="FF40FA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E0084A"/>
    <w:multiLevelType w:val="multilevel"/>
    <w:tmpl w:val="7E921CA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13133D5"/>
    <w:multiLevelType w:val="multilevel"/>
    <w:tmpl w:val="585657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667BD8"/>
    <w:multiLevelType w:val="multilevel"/>
    <w:tmpl w:val="E0B03E8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8" w15:restartNumberingAfterBreak="0">
    <w:nsid w:val="7A7C2952"/>
    <w:multiLevelType w:val="multilevel"/>
    <w:tmpl w:val="AE5445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A20222"/>
    <w:multiLevelType w:val="multilevel"/>
    <w:tmpl w:val="0AE41AA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4"/>
  </w:num>
  <w:num w:numId="4">
    <w:abstractNumId w:val="25"/>
  </w:num>
  <w:num w:numId="5">
    <w:abstractNumId w:val="8"/>
  </w:num>
  <w:num w:numId="6">
    <w:abstractNumId w:val="26"/>
  </w:num>
  <w:num w:numId="7">
    <w:abstractNumId w:val="9"/>
  </w:num>
  <w:num w:numId="8">
    <w:abstractNumId w:val="12"/>
  </w:num>
  <w:num w:numId="9">
    <w:abstractNumId w:val="7"/>
  </w:num>
  <w:num w:numId="10">
    <w:abstractNumId w:val="29"/>
  </w:num>
  <w:num w:numId="11">
    <w:abstractNumId w:val="28"/>
  </w:num>
  <w:num w:numId="12">
    <w:abstractNumId w:val="22"/>
  </w:num>
  <w:num w:numId="13">
    <w:abstractNumId w:val="14"/>
  </w:num>
  <w:num w:numId="14">
    <w:abstractNumId w:val="13"/>
  </w:num>
  <w:num w:numId="15">
    <w:abstractNumId w:val="15"/>
  </w:num>
  <w:num w:numId="16">
    <w:abstractNumId w:val="10"/>
  </w:num>
  <w:num w:numId="17">
    <w:abstractNumId w:val="11"/>
  </w:num>
  <w:num w:numId="18">
    <w:abstractNumId w:val="0"/>
  </w:num>
  <w:num w:numId="19">
    <w:abstractNumId w:val="2"/>
  </w:num>
  <w:num w:numId="20">
    <w:abstractNumId w:val="23"/>
  </w:num>
  <w:num w:numId="21">
    <w:abstractNumId w:val="24"/>
  </w:num>
  <w:num w:numId="22">
    <w:abstractNumId w:val="6"/>
  </w:num>
  <w:num w:numId="23">
    <w:abstractNumId w:val="21"/>
  </w:num>
  <w:num w:numId="24">
    <w:abstractNumId w:val="27"/>
  </w:num>
  <w:num w:numId="25">
    <w:abstractNumId w:val="3"/>
  </w:num>
  <w:num w:numId="26">
    <w:abstractNumId w:val="17"/>
  </w:num>
  <w:num w:numId="27">
    <w:abstractNumId w:val="20"/>
  </w:num>
  <w:num w:numId="28">
    <w:abstractNumId w:val="1"/>
  </w:num>
  <w:num w:numId="29">
    <w:abstractNumId w:val="1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956"/>
    <w:rsid w:val="00185F51"/>
    <w:rsid w:val="0025339C"/>
    <w:rsid w:val="007E0C7C"/>
    <w:rsid w:val="00D909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B63F3"/>
  <w15:docId w15:val="{0D48EE3B-E6AD-4516-8F93-C98E0B37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paragraph" w:styleId="Header">
    <w:name w:val="header"/>
    <w:basedOn w:val="Normal"/>
    <w:link w:val="HeaderChar"/>
    <w:uiPriority w:val="99"/>
    <w:semiHidden/>
    <w:unhideWhenUsed/>
    <w:rsid w:val="008E182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E1824"/>
  </w:style>
  <w:style w:type="paragraph" w:styleId="Footer">
    <w:name w:val="footer"/>
    <w:basedOn w:val="Normal"/>
    <w:link w:val="FooterChar"/>
    <w:uiPriority w:val="99"/>
    <w:semiHidden/>
    <w:unhideWhenUsed/>
    <w:rsid w:val="008E182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E1824"/>
  </w:style>
  <w:style w:type="paragraph" w:styleId="Revision">
    <w:name w:val="Revision"/>
    <w:hidden/>
    <w:uiPriority w:val="99"/>
    <w:semiHidden/>
    <w:rsid w:val="00B33581"/>
    <w:pPr>
      <w:spacing w:after="0" w:line="240" w:lineRule="auto"/>
    </w:pPr>
  </w:style>
  <w:style w:type="character" w:styleId="CommentReference">
    <w:name w:val="annotation reference"/>
    <w:basedOn w:val="DefaultParagraphFont"/>
    <w:uiPriority w:val="99"/>
    <w:semiHidden/>
    <w:unhideWhenUsed/>
    <w:rsid w:val="00F05B83"/>
    <w:rPr>
      <w:sz w:val="16"/>
      <w:szCs w:val="16"/>
    </w:rPr>
  </w:style>
  <w:style w:type="paragraph" w:styleId="CommentText">
    <w:name w:val="annotation text"/>
    <w:basedOn w:val="Normal"/>
    <w:link w:val="CommentTextChar"/>
    <w:uiPriority w:val="99"/>
    <w:unhideWhenUsed/>
    <w:rsid w:val="00F05B83"/>
    <w:pPr>
      <w:spacing w:line="240" w:lineRule="auto"/>
    </w:pPr>
    <w:rPr>
      <w:sz w:val="20"/>
      <w:szCs w:val="20"/>
    </w:rPr>
  </w:style>
  <w:style w:type="character" w:customStyle="1" w:styleId="CommentTextChar">
    <w:name w:val="Comment Text Char"/>
    <w:basedOn w:val="DefaultParagraphFont"/>
    <w:link w:val="CommentText"/>
    <w:uiPriority w:val="99"/>
    <w:rsid w:val="00F05B83"/>
    <w:rPr>
      <w:sz w:val="20"/>
      <w:szCs w:val="20"/>
    </w:rPr>
  </w:style>
  <w:style w:type="paragraph" w:styleId="CommentSubject">
    <w:name w:val="annotation subject"/>
    <w:basedOn w:val="CommentText"/>
    <w:next w:val="CommentText"/>
    <w:link w:val="CommentSubjectChar"/>
    <w:uiPriority w:val="99"/>
    <w:semiHidden/>
    <w:unhideWhenUsed/>
    <w:rsid w:val="00F05B83"/>
    <w:rPr>
      <w:b/>
      <w:bCs/>
    </w:rPr>
  </w:style>
  <w:style w:type="character" w:customStyle="1" w:styleId="CommentSubjectChar">
    <w:name w:val="Comment Subject Char"/>
    <w:basedOn w:val="CommentTextChar"/>
    <w:link w:val="CommentSubject"/>
    <w:uiPriority w:val="99"/>
    <w:semiHidden/>
    <w:rsid w:val="00F05B83"/>
    <w:rPr>
      <w:b/>
      <w:bCs/>
      <w:sz w:val="20"/>
      <w:szCs w:val="20"/>
    </w:r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UWgfHf/xjq3lVDsFKIMCVVTalA==">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995C22-0076-45CC-8016-7C705E762A51}"/>
</file>

<file path=customXml/itemProps3.xml><?xml version="1.0" encoding="utf-8"?>
<ds:datastoreItem xmlns:ds="http://schemas.openxmlformats.org/officeDocument/2006/customXml" ds:itemID="{4DBD9DB3-9DA5-40B7-9678-4C8DD64CE520}"/>
</file>

<file path=customXml/itemProps4.xml><?xml version="1.0" encoding="utf-8"?>
<ds:datastoreItem xmlns:ds="http://schemas.openxmlformats.org/officeDocument/2006/customXml" ds:itemID="{44511215-A1ED-47DB-A24D-26F7E5FB48F8}"/>
</file>

<file path=docProps/app.xml><?xml version="1.0" encoding="utf-8"?>
<Properties xmlns="http://schemas.openxmlformats.org/officeDocument/2006/extended-properties" xmlns:vt="http://schemas.openxmlformats.org/officeDocument/2006/docPropsVTypes">
  <Template>Normal</Template>
  <TotalTime>8</TotalTime>
  <Pages>50</Pages>
  <Words>14132</Words>
  <Characters>80555</Characters>
  <Application>Microsoft Office Word</Application>
  <DocSecurity>0</DocSecurity>
  <Lines>671</Lines>
  <Paragraphs>188</Paragraphs>
  <ScaleCrop>false</ScaleCrop>
  <Company/>
  <LinksUpToDate>false</LinksUpToDate>
  <CharactersWithSpaces>94499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Roberts</dc:creator>
  <cp:lastModifiedBy>Tracy Starr</cp:lastModifiedBy>
  <cp:revision>3</cp:revision>
  <dcterms:created xsi:type="dcterms:W3CDTF">2025-03-27T08:40:00Z</dcterms:created>
  <dcterms:modified xsi:type="dcterms:W3CDTF">2025-12-17T13:13:00Z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